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D-5205/2022 vom 28. November 2022</w:t>
      </w:r>
    </w:p>
    <w:p>
      <w:r>
        <w:t>Bundesverwaltungsgericht, 2022-11-28, DE</w:t>
      </w:r>
    </w:p>
    <w:p>
      <w:r>
        <w:rPr>
          <w:b/>
        </w:rPr>
        <w:t xml:space="preserve">Quelle: </w:t>
      </w:r>
      <w:r>
        <w:t>https://mcp.opencaselaw.ch/entscheid/bvger_D-5205_2022</w:t>
      </w:r>
    </w:p>
    <w:p>
      <w:r>
        <w:t>FR: TAF D-5205/2022 du 28 novembre 2022</w:t>
      </w:r>
    </w:p>
    <w:p>
      <w:r>
        <w:t>IT: TAF D-5205/2022 del 28 novembre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und Art. 108 Abs. 1 AsylG i.V.m. Art. 10 COVID-19-Verordnung Asyl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D-5205/2022 Seite 5</w:t>
      </w:r>
    </w:p>
    <w:p>
      <w:r>
        <w:rPr>
          <w:b/>
        </w:rPr>
        <w:t>E. 3</w:t>
      </w:r>
    </w:p>
    <w:p>
      <w:r>
        <w:t>Die Beschwerde erweist sich – wie nachfolgend aufgezeigt – als offensicht- lich begründet. Über die Beschwerde ist daher in einzelrichterlicher Zustän- digkeit mit Zustimmung eines zweiten Richters oder einer zweiten Richterin zu entscheiden (Art. 111 Bst. e AsylG). Gleichzeitig ist auf einen Schriften- wechsel zu verzichten und der Entscheid nur summarisch zu begründen (Art. 111a Abs. 1 und 2 AsylG).</w:t>
      </w:r>
    </w:p>
    <w:p>
      <w:r>
        <w:rPr>
          <w:b/>
        </w:rPr>
        <w:t>E. 4.1</w:t>
      </w:r>
    </w:p>
    <w:p>
      <w:r>
        <w:t>In der Beschwerde rügt die Beschwerdeführerin in formeller Hinsicht eine Verletzung der Pflicht zur vollständigen und richtigen Abklärung des rechtserheblichen Sachverhalts und sinngemäss der Begründungspflicht. So habe das SEM ihre Vorbringen auf die allgemeine Schikane der kurdi- schen Menschen in der Türkei reduziert, obwohl sie explizit ausgesagt habe, dass die Vergewaltigung und anschliessenden Drohungen wegen des fehlenden staatlichen Schutzes dazu geführt hätten, dass sie in ihrem Heimatstaat nicht mehr habe bleiben können. Zudem habe es unterlassen zu überprüfen, ob die türkischen Behörden bezüglich geschlechterspezifi- scher Gewalt seitens eines Angehörigen der Sicherheitskräfte tatsächlich schutzwillig und schutzfähig seien. Im Entscheid begründe es auch nicht, weshalb es vorliegend von der Schutzfähigkeit und -willigkeit der türki- schen Behörden ausgehe. Daher gebe der Entscheid Anlass zur Annahme, dass weder ihre Vorbringen noch die eingereichten Beweismittel richtig ge- würdigt worden seien. Diese Rügen sind vorab zu behandeln, da deren Gutheissung gegebenenfalls geeignet ist, eine Kassation der erstinstanzli- chen Verfügung zu bewirken.</w:t>
      </w:r>
    </w:p>
    <w:p>
      <w:r>
        <w:rPr>
          <w:b/>
        </w:rPr>
        <w:t>E. 4.2</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 gen hat. Nach den von Lehre und Praxis entwickelten Grundsätzen hat die</w:t>
      </w:r>
    </w:p>
    <w:p>
      <w:r>
        <w:t>D-5205/2022 Seite 6 Behörde im Rahmen der Entscheidbegründung die Überlegungen zu nen- nen, von denen sie sich leiten liess und auf die sich ihr Entscheid stützt. Die Begründung des Entscheids muss so abgefasst sein, dass die Be- troffene ihn gegebenenfalls sachgerecht anfechten kann. Die Behörde muss sich jedoch nicht mit jeder tatbeständlichen Behauptung auseinan- dersetzen, sondern kann sich auf die für den Entscheid wesentlichen Ge- sichtspunkte beschränken (vgl. BVGE 2016/9 E. 5.1).</w:t>
      </w:r>
    </w:p>
    <w:p>
      <w:r>
        <w:rPr>
          <w:b/>
        </w:rPr>
        <w:t>E. 4.3</w:t>
      </w:r>
    </w:p>
    <w:p>
      <w:r>
        <w:t>Vorab ist festzuhalten, dass das SEM entgegen der Ansicht der Be- schwerdeführerin ihre Vorbringen nicht auf die allgemeinen Schikanen und Diskriminierungen reduzierte, sondern auch auf die geltend gemachte se- xuelle Gewalt einging. Immerhin ist jedoch darauf hinzuweisen, dass in der Begründung auf die konkrete Situation der Beschwerdeführerin als Künst- lerin von Darbietungen kurdischer Musik tatsächlich kaum eingegangen wurde, womit dem konkreten Einzelfall zu wenig Rechnung getragen wurde.</w:t>
      </w:r>
    </w:p>
    <w:p>
      <w:r>
        <w:rPr>
          <w:b/>
        </w:rPr>
        <w:t>E. 4.4</w:t>
      </w:r>
    </w:p>
    <w:p>
      <w:r>
        <w:t>Weiter ist dem SEM zwar dahingehend zuzustimmen, dass gemäss dem Subsidiaritätsprinzip eine Person, die in ihrem Heimatstaat Schutz vor nichtstaatlicher Verfolgung finden kann, die Voraussetzungen für die Zuer- kennung der Flüchtlingseigenschaft nicht erfüllt. Der Staat muss aber so- wohl fähig als auch willens sein, der betroffenen Person Schutz zu bieten, und der Schutz muss im konkreten Einzelfall zugänglich und dessen Inan- spruchnahme zumutbar sein (vgl. statt vieler BVGE 2008/4 E. 5.2). Im vor- liegenden Fall wurden jedoch nach zutreffender Ansicht der Beschwerde- führerin diese Aspekte weder hinreichend abgeklärt, noch in der angefoch- tenen Verfügung zureichend gewürdigt und begründet. So erläuterte das SEM zwar ausführlich die bundesverwaltungsgerichtliche Praxis zur Schutzfähigkeit und zum Schutzwillen der türkischen Behörden bei häusli- cher und sexueller Gewalt im innerfamiliären Zusammenhang (vgl. statt vieler das Referenzurteil des BVGer E-1948/2018 vom 12. Juni 2018 E. 5.2 m.w.H.) und erwog gestützt darauf, dass die Beschwerdeführerin weiteren Übergriffen durch Dritte nicht schutzlos ausgeliefert wäre, da der türkische Staat über funktionierende und effiziente staatliche Infrastrukturen verfüge, weshalb von ihr verlangt werden könne, dort um Schutz zu ersuchen. Es verkannte dabei allerdings, dass sich die genannte Praxis auf die frauen- spezifische Verfolgung im häuslichen und privaten Kontext bezieht und sich insbesondere nicht mit der Verfolgung durch Polizeibeamte und Be- hördenmitglieder auseinandersetzt. Daher ist namentlich unklar, ob Straf- anzeigen und Schutzersuchen der Opfer von den zuständigen Behörden überhaupt angenommen und berücksichtigt werden, wenn ihre Täter selbst</w:t>
      </w:r>
    </w:p>
    <w:p>
      <w:r>
        <w:t>D-5205/2022 Seite 7 bei den schutzgewährenden Instanzen tätig sind. Das SEM führte in der angefochtenen Verfügung zwar auch aus, das türkische Recht erlaube es, gegen Polizeibeamte und Behördenmitglieder Anzeige zu erstatten, und verpflichte sie unter Strafandrohung, alle Offizialdelikte zu verfolgen oder an die zuständige Behörde zu melden. Es verzichtet jedoch auf konkrete Ausführungen, ob diese rechtlichen Vorgaben in der Türkei in der Praxis auch umgesetzt werden und ob eine entsprechende Geltendmachung den Opfern zumutbar ist, insbesondere wenn sie gleichzeitig von den Tätern bedroht werden. So basieren die vorinstanzlichen Einschätzungen augen- scheinlich weder auf aktuellen Länderinformationen noch auf den Umstän- den des vorliegenden Falles, zumal das SEM die Angaben der Beschwer- deführerin, wonach sie erfolglos bei mehreren staatlichen Stellen um Schutz ersucht habe, gestützt auf die genannte bundesverwaltungsgericht- liche Praxis ohne weitere Begründung beziehungsweise Prüfung von Ele- menten, die für die Glaubhaftigkeit sprechen, als unplausibel abtat. Das SEM hat somit nicht nur versäumt, sich mit der tatsächlichen Schutzfähig- keit und -bereitschaft der türkischen Behörden im vorliegenden Einzelfall auseinanderzusetzen, sondern auch die Glaubhaftigkeit der erheblichen Vorbringen sorgfältig zu beurteilen.</w:t>
      </w:r>
    </w:p>
    <w:p>
      <w:r>
        <w:rPr>
          <w:b/>
        </w:rPr>
        <w:t>E. 4.5</w:t>
      </w:r>
    </w:p>
    <w:p>
      <w:r>
        <w:t>Schliesslich ist festzustellen, dass das SEM in seiner Verfügung der Beschwerde ohne jegliche Begründung die aufschiebende Wirkung entzo- gen hat.</w:t>
      </w:r>
    </w:p>
    <w:p>
      <w:r>
        <w:rPr>
          <w:b/>
        </w:rPr>
        <w:t>E. 4.6</w:t>
      </w:r>
    </w:p>
    <w:p>
      <w:r>
        <w:t>Nach dem Gesagten ist festzustellen, dass das Subeventualbegehren offensichtlich begründet ist, zumal das SEM die ihm obliegenden Pflichten, den Sachverhalt abzuklären und den Asylentscheid in nachvollziehbarer Weise zu begründen, klar verletzt hat.</w:t>
      </w:r>
    </w:p>
    <w:p>
      <w:r>
        <w:rPr>
          <w:b/>
        </w:rPr>
        <w:t>E. 5.1</w:t>
      </w:r>
    </w:p>
    <w:p>
      <w:r>
        <w:t>Gemäss Art. 61 Abs. 1 VwVG entscheidet das Bundesverwaltungsge- 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w:t>
      </w:r>
    </w:p>
    <w:p>
      <w:r>
        <w:t>D-5205/2022 Seite 8 nicht (vgl. BVGE 2012/21 E. 5). Sodann führt eine schwere Gehörsverlet- zung praxisgemäss grundsätzlich zur Aufhebung der angefochtenen Ver- fügung (vgl. BVGE 2013/34 E.4.2).</w:t>
      </w:r>
    </w:p>
    <w:p>
      <w:r>
        <w:rPr>
          <w:b/>
        </w:rPr>
        <w:t>E. 5.3</w:t>
      </w:r>
    </w:p>
    <w:p>
      <w:r>
        <w:t>Die vorliegend festgestellten Mängel sind als schwere Gehörsverlet- zung zu qualifizieren und eine Heilung auf Beschwerdestufe fällt nicht in Betracht. Damit ist angezeigt, die Sache an die Vorinstanz zurückzuwei- sen, damit diese die Schutzfähigkeit und den Schutzwillen der türkischen Behörden beziehungsweise die Glaubhaftigkeit der entsprechenden Vor- bringen im vorliegenden Einzelfall abklärt und den Entscheid anschlies- send genügend begründet.</w:t>
      </w:r>
    </w:p>
    <w:p>
      <w:r>
        <w:rPr>
          <w:b/>
        </w:rPr>
        <w:t>E. 5.4</w:t>
      </w:r>
    </w:p>
    <w:p>
      <w:r>
        <w:t>Nach dem Gesagten ist die Beschwerde gutzuheissen, soweit die Auf- hebung der angefochtenen Verfügung beantragt wurde. Die vorinstanzli- che Verfügung vom 28. Oktober 2022 ist aufzuheben und die Sache in An- wendung von Art. 61 Abs. 1 VwVG zur Neubeurteilung ans SEM zurückzu- weisen.</w:t>
      </w:r>
    </w:p>
    <w:p>
      <w:r>
        <w:rPr>
          <w:b/>
        </w:rPr>
        <w:t>E. 6.1</w:t>
      </w:r>
    </w:p>
    <w:p>
      <w:r>
        <w:t>Bei diesem Ausgang des Verfahrens sind keine Kosten zu erheben (Art. 63 Abs. 1 VwVG), weshalb das Gesuch um unentgeltliche Prozess- führung gegenstandlos wird.</w:t>
      </w:r>
    </w:p>
    <w:p>
      <w:r>
        <w:rPr>
          <w:b/>
        </w:rPr>
        <w:t>E. 6.2</w:t>
      </w:r>
    </w:p>
    <w:p>
      <w:r>
        <w:t>Ausserdem ist bei diesem Ausgang des Verfahrens eine Parteientschä- digung auszureichten (vgl. Art. 64 Abs. 1 VwVG), womit auch das Gesuch um unentgeltlichen Rechtsbeistand gegenstandslos wird. Es wurde keine Kostennote eingereicht, weshalb die notwendigen Parteikosten aufgrund der Akten zu bestimmen sind (Art. 14 Abs. 2 in fine VGKE [SR 173.320.2]). Gestützt auf die in Betracht zu ziehenden Bemessungsfaktoren (Art. 9–13 VGKE) ist der Beschwerdeführerin zulasten der Vorinstanz eine Parteient- schädigung von insgesamt Fr. 750.– zuzusprechen.</w:t>
      </w:r>
    </w:p>
    <w:p>
      <w:r>
        <w:t>(Dispositiv nächste Seite)</w:t>
      </w:r>
    </w:p>
    <w:p>
      <w:r>
        <w:t>D-5205/2022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