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D-5202/2015 vom 19. April 2016</w:t>
      </w:r>
    </w:p>
    <w:p>
      <w:r>
        <w:t>Bundesverwaltungsgericht, 2016-04-19, DE</w:t>
      </w:r>
    </w:p>
    <w:p>
      <w:r>
        <w:rPr>
          <w:b/>
        </w:rPr>
        <w:t xml:space="preserve">Quelle: </w:t>
      </w:r>
      <w:r>
        <w:t>https://mcp.opencaselaw.ch/entscheid/bvger_D-5202_2015</w:t>
      </w:r>
    </w:p>
    <w:p>
      <w:r>
        <w:t>FR: TAF D-5202/2015 du 19 avril 2016</w:t>
      </w:r>
    </w:p>
    <w:p>
      <w:r>
        <w:t>IT: TAF D-5202/2015 del 19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des SEM vom 16. März 2016 wurde dem Beschwerdeführer bisher nicht zur Kenntnis gebracht. Auf eine vorgängige Anhörung in diesem Zusammenhang kann gestützt auf Art. 30 Abs. 2 Bst. c VwVG angesichts des vorliegenden Verfahrensausgangs verzichtet werden. Die Vernehmlassung wird dem Beschwerdeführer zusammen mit dem Urteil zur Kenntnis zugeschickt.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im Wesentlichen aus, dass die Vorbringen des Beschwerdeführers zahlreiche Widersprüche aufweisen würden. So habe der Beschwerdeführer sich insbesondere zu seinen politischen Aktivitäten, seiner Verfolgungssituation sowie den Umständen der Verhaftung widersprüchlich geäussert. Trotz Erklärungsversuchen sei es dem Beschwerdeführer nicht gelungen, diese Widersprüche zu entkräften respektive aufzulösen. Ferner sei es nicht nachvollziehbar, warum der Beschwerdeführer eine Bestätigung einer illegalen Partei auf sich getragen habe, da er sich damit bewusst dem Risiko ausgesetzt habe, von den Behörden wegen Unterstützung einer illegalen Partei entlarvt zu werden. Die Vorbringen würden insgesamt als konstruiert und deshalb unglaubhaft erscheinen. In Äthiopien herrsche weder Krieg noch eine Situation allgemeiner Gewalt. Auch würden sich aus den Akten keine individuellen Gründe ergeben, die einen Wegweisungsvollzug nach Äthiopien als unzumutbar erscheinen liessen. Der Beschwerdeführer sei ein junger, gesunder Mann, der im Heimatland über ein Beziehungsnetz verfüge. Die geltend gemachte Heirat habe nicht belegt werden können. Zudem habe der Beschwerdeführer widersprüchliche Angaben bezüglich des Heiratsdatums gemacht. Die Ehefrau habe bei der BzP nicht angegeben, verheiratet zu sein. Aufgrund dieser Ungereimtheiten müsse davon ausgegangen werden, dass der Beschwerdeführer ledig sei.</w:t>
      </w:r>
    </w:p>
    <w:p>
      <w:r>
        <w:rPr>
          <w:b/>
        </w:rPr>
        <w:t>E. 5.2</w:t>
      </w:r>
    </w:p>
    <w:p>
      <w:r>
        <w:t>In seiner Rechtsmitteleingabe machte der Beschwerdeführer geltend, er gehöre der Volksgruppe der Oromo an und sei mit seiner nach Brauch verheirateten Frau gemeinsam in die Schweiz eingereist, wo sie Asylgesuche gestellt hätten. Angehörige der Volksgruppe der Oromo würden in Äthiopien von der Regierung kategorisch diskriminiert. Er sei aktives Vereinsmitglied der D._______. Darüber hinaus versucht er mit diversen Ausführungen die vom SEM vorgeworfenen Widersprüche auszuräumen. Im Weiteren sei der Wegweisungsvollzug unzulässig, da er sich aufgrund seiner politischen Tätigkeiten bei einer Rückkehr nach Äthiopien um Leib und Leben fürchten müsse. Zudem wolle er nicht von seiner Ehefrau und seiner Tochter getrennt werden.</w:t>
      </w:r>
    </w:p>
    <w:p>
      <w:r>
        <w:rPr>
          <w:b/>
        </w:rPr>
        <w:t>E. 5.3</w:t>
      </w:r>
    </w:p>
    <w:p>
      <w:r>
        <w:t>In der Eingabe vom 23. September 2015 wiederholt der Beschwerdeführer im Wesentlichen seine Fluchtgründe und macht geltend, dass er bei einem Wegweisungsvollzug nach Äthiopien nicht nur gefoltert, sondern aussergerichtlich hingerichtet werde.</w:t>
      </w:r>
    </w:p>
    <w:p>
      <w:r>
        <w:rPr>
          <w:b/>
        </w:rPr>
        <w:t>E. 5.4</w:t>
      </w:r>
    </w:p>
    <w:p>
      <w:r>
        <w:t>In seiner zweiten Vernehmlassung vom 16. März 2016 beantragte das SEM die Sistierung des Beschwerdeverfahrens, bis über das Asylgesuch der Ehefrau des Beschwerdeführers und Kindsmutter entschieden werde.</w:t>
      </w:r>
    </w:p>
    <w:p>
      <w:r>
        <w:rPr>
          <w:b/>
        </w:rPr>
        <w:t>E. 6.1</w:t>
      </w:r>
    </w:p>
    <w:p>
      <w:r>
        <w:t>Der Beschwerdeführer beantragte im vorliegenden Verfahren die Aufhebung der angefochtenen Verfügung und machte dabei implizit den Grundsatz der Einheit der Familie gemäss Art. 44 Abs. 1 AsylG geltend. Gemäss dieser Bestimmung ist das SEM gehalten, bei der Anordnung der Wegweisung aus der Schweiz und des Vollzugs den Grundsatz der Einheit der Familie zu berücksichtigen.</w:t>
      </w:r>
    </w:p>
    <w:p>
      <w:r>
        <w:rPr>
          <w:b/>
        </w:rPr>
        <w:t>E. 6.2</w:t>
      </w:r>
    </w:p>
    <w:p>
      <w:r>
        <w:t>Im vorliegenden Fall hat die Vorinstanz den Grundsatz der Einheit der Familie im Sinne von Art. 44 Abs. 1 AsylG unbeachtet gelassen, indem sie das Asylgesuch des Beschwerdeführers ablehnte und seine Wegweisung aus der Schweiz sowie den Vollzug anordnete, ohne dabei zu berücksichtigen, dass die Ehefrau sowie das gemeinsame Kind sich ebenfalls in der Schweiz befinden.</w:t>
      </w:r>
    </w:p>
    <w:p>
      <w:r>
        <w:rPr>
          <w:b/>
        </w:rPr>
        <w:t>E. 6.3</w:t>
      </w:r>
    </w:p>
    <w:p>
      <w:r>
        <w:t>Für das Bundesverwaltungsgericht ist es nicht nachvollziehbar, weshalb für den Beschwerdeführer und seine Ehefrau zwei separate N-Dossiers eröffnet worden sind, die darüber hinaus auch noch von unterschiedlichen Mitarbeitenden des SEM behandelt wurden. Die Ausführungen des SEM in der Aktennotiz (vgl. act. A5/1) als auch diejenigen in der angefochtenen Verfügung, wonach davon ausgegangen werden müsse, dass der Beschwerdeführer ledig sei, vermögen nicht zu überzeugen. So lässt sich den Akten entnehmen, dass der Beschwerdeführer und seine Ehefrau gemeinsam in die Schweiz eingereist sind und Asylgesuche gestellt haben. Zudem gaben anlässlich der BzP beide übereinstimmend zu Protokoll, dass sie sich in Libyen kennengelernt und dort im Januar 2013 geheiratet haben (vgl. act. A3 F1.14 in beiden BzP-Befragungen). Sie leben im gleichen Haushalt und haben ein gemeinsames Kind (vgl. Geburtsurkunde vom 5. Februar 2016). Nach dem Gesagten ist klarerweise vom Familienbegriff im Sinne von Art. 1a Bst. e der Asylverordnung 1 vom 11. August 1999 über Verfahrensfragen (AsylV1, SR 142.311) auszugehen.</w:t>
      </w:r>
    </w:p>
    <w:p>
      <w:r>
        <w:rPr>
          <w:b/>
        </w:rPr>
        <w:t>E. 6.4</w:t>
      </w:r>
    </w:p>
    <w:p>
      <w:r>
        <w:t>Die Frage der Flüchtlingseigenschaft eines Ehegatten kann grundsätzlich nicht losgelöst von derjenigen des anderen Ehegatten geprüft werden. Das Gleiche gilt für die Frage des Wegweisungsvollzugs, da der Grundsatz der Einheit der Familie eine nicht gleichzeitige Wegweisung von Ehegatten verbietet und die Zumutbarkeit des Wegweisungsvollzugs auf koordinierte Weise geprüft werden muss (vgl. Entscheidungen und Mitteilungen der Schweizerischen Asylrekurskommission [EMARK] 1999 Nr. 1 E. 2a-d und 4). In analoger Weise drängt sich eine koordinierte Prüfung bei einem Vater-Kind-Verhältnis auf (vgl. Urteil des Bundesverwaltungsgerichts D-3436/2009 vom 29. Juni 2009).</w:t>
      </w:r>
    </w:p>
    <w:p>
      <w:r>
        <w:rPr>
          <w:b/>
        </w:rPr>
        <w:t>E. 6.5</w:t>
      </w:r>
    </w:p>
    <w:p>
      <w:r>
        <w:t>Das Asylgesuch von B._______ (N [...]), in welchem auch das gemeinsame Kind eingeschlossen wird, ist nach wie vor erstinstanzlich hängig. In seiner zweiten Vernehmlassung beantragte das SEM die Sistierung des Beschwerdeverfahrens, was darauf schliessen lässt, dass es auch der Meinung ist, dass im vorliegenden Fall eine koordinierte Behandlung der Asylgesuche des Beschwerdeführers und von B._______ angezeigt ist. Eine eigentliche, sinnvolle und namentlich prozessökonomische Koordination ist indessen nur möglich, wenn die sich stellenden Fragen bereits im erstinstanzlichen Verfahren koordiniert beantwortet werden.</w:t>
      </w:r>
    </w:p>
    <w:p>
      <w:r>
        <w:rPr>
          <w:b/>
        </w:rPr>
        <w:t>E. 6.6</w:t>
      </w:r>
    </w:p>
    <w:p>
      <w:r>
        <w:t>Vor dem Hintergrund, dass das Bundesverwaltungsgericht letztinstanzlich entscheidet und in seiner Kognition im Vergleich zur Vorinstanz eingeschränkt ist (vgl. Art. 106 Abs. 1 AsylG sowie Wegfall der Ermessensüberprüfung durch die per 1. Februar 2014 in Kraft getretene Asylgesetzrevision), rechtfertigt sich eine Kassation der angefochtenen Verfügung umso mehr. Im Übrigen bleibt auf diese Weise auch der Instanzenzug erhalten.</w:t>
      </w:r>
    </w:p>
    <w:p>
      <w:r>
        <w:rPr>
          <w:b/>
        </w:rPr>
        <w:t>E. 7</w:t>
      </w:r>
    </w:p>
    <w:p>
      <w:r>
        <w:t>Aus den vorstehend genannten Gründen ist die Beschwerde gutzuheissen. Die Verfügung vom 27. Juli 2015 ist aufzuheben und die Sache im Sinne der Erwägungen an die Vorinstanz zurückzuweisen. Angesichts dieses Verfahrensausgangs ist auf die weiteren Vorbringen in der Rechtsmitteleingabe zum heutigen Zeitpunkt nicht näher einzugehen.</w:t>
      </w:r>
    </w:p>
    <w:p>
      <w:r>
        <w:rPr>
          <w:b/>
        </w:rPr>
        <w:t>E. 8.1</w:t>
      </w:r>
    </w:p>
    <w:p>
      <w:r>
        <w:t>Bei diesem Ausgang des Verfahrens sind keine Kosten zu erheben (Art. 63 Abs. 1 und 2 VwVG).</w:t>
      </w:r>
    </w:p>
    <w:p>
      <w:r>
        <w:rPr>
          <w:b/>
        </w:rPr>
        <w:t>E. 8.2</w:t>
      </w:r>
    </w:p>
    <w:p>
      <w:r>
        <w:t>Im Weiteren ist trotz Obsiegens keine Parteientschädigung auszurichten, da davon auszugehen ist, dass dem nicht vertretenen Beschwerdeführer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