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D-519/2020 vom 5. Februar 2020</w:t>
      </w:r>
    </w:p>
    <w:p>
      <w:r>
        <w:t>Bundesverwaltungsgericht, 2020-02-05, DE</w:t>
      </w:r>
    </w:p>
    <w:p>
      <w:r>
        <w:rPr>
          <w:b/>
        </w:rPr>
        <w:t xml:space="preserve">Quelle: </w:t>
      </w:r>
      <w:r>
        <w:t>https://mcp.opencaselaw.ch/entscheid/bvger_D-519_2020</w:t>
      </w:r>
    </w:p>
    <w:p>
      <w:r>
        <w:t>FR: TAF D-519/2020 du 5 février 2020</w:t>
      </w:r>
    </w:p>
    <w:p>
      <w:r>
        <w:t>IT: TAF D-519/2020 del 5 febbraio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einzutreten (Art. 108 Abs. 3 AsylG und Art. 52 Abs. 1 VwVG).</w:t>
      </w:r>
    </w:p>
    <w:p>
      <w:r>
        <w:rPr>
          <w:b/>
        </w:rPr>
        <w:t>E. 1.2</w:t>
      </w:r>
    </w:p>
    <w:p>
      <w:r>
        <w:t>Soweit in der Rechtsmitteleingabe beantragt wird, der Beschwerde sei die aufschiebende Wirkung zu gewähren, kann festgestellt werden, dass ihr von Gesetzes wegen aufschiebende Wirkung zukommt (vgl. Art. 6 AsylG i.V.m. Art. 55 Abs. 1 VwVG) und die Vorinstanz diese vorliegend nicht entzogen hat. Der diesbezügliche Antrag ist gegenstandslos.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des Beschwerdeführers hielten den Anforderungen an die Flüchtlingseigenschaft gemäss Art. 3 AsylG nicht stand. Zur Begründung führte sie im Wesentlichen aus, der Bundesrat habe Ghana als verfolgungssicheren Staat im Sinne von Art. 6a Abs. 2 Bst. a AsylG bezeichnet. Entsprechend bestehe die gesetzliche Regelvermutung, dass asylrelevante staatliche Verfolgung nicht stattfinde und Schutz vor nichtstaatlicher Verfolgung gewährleistet sei. Der Beschwerdeführer vermöge diese Regelvermutung nicht umzustossen. Sowohl die von ihm geltend gemachte Verfolgung seitens des Kultes, seiner Familie und allfällig der muslimischen Bevölkerung in seinem Heimatort stellten in Ghana strafbare Handlungen dar, die von den zuständigen Strafverfolgungsbehörden im Rahmen ihrer Möglichkeiten verfolgt und geahndet würden. Der Beschwerdeführer habe vorliegend nicht versucht, sich aufgrund der erlittenen Verfolgung unter den Schutz der ghanaischen Behörden zu stellen, obwohl er dies in Bezug auf den Diebstahl seiner Kühe und den Brand seiner Farm - was ebenfalls im Kontext mit dem Kult geschehen sei - getan habe und die Behörden die Anzeigen entgegengenommen beziehungsweise die Ermittlungen aufgenommen hätten. Vor diesem Hintergrund sei es ihm möglich und zumutbar, sich auch in Bezug auf die übrigen erlittenen Nachteile an die heimatlichen Behörden zu wenden. Sollten diese dennoch untätig bleiben, stehe es ihm - nötigenfalls mit Hilfe eines Rechtsanwaltes - offen, an die nächsthöhere Instanz zu gelangen. Bezüglich der geltend gemachten Bisexualität sei festzuhalten, dass weder seinen Aussagen noch der Stellungnahme zu entnehmen sei, welche Nachteile er konkret seitens seiner Familie aufgrund seiner sexuellen Orientierung befürchte respektive weshalb er sich bei allfälligen Nachteilen aufgrund seiner sexuellen Orientierung nicht unter den Schutz der ghanaischen Behörden stellen könne.</w:t>
      </w:r>
    </w:p>
    <w:p>
      <w:r>
        <w:rPr>
          <w:b/>
        </w:rPr>
        <w:t>E. 5.2</w:t>
      </w:r>
    </w:p>
    <w:p>
      <w:r>
        <w:t>Der Beschwerdeführer beschränkt sich in seiner Rechtsmitteleingabe inhaltlich auf eine sinngemässe Wiederholung der bisherigen Aussagen sowie der Stellungnahme.</w:t>
      </w:r>
    </w:p>
    <w:p>
      <w:r>
        <w:rPr>
          <w:b/>
        </w:rPr>
        <w:t>E. 6.1</w:t>
      </w:r>
    </w:p>
    <w:p>
      <w:r>
        <w:t>Das Bundesverwaltungsgericht gelangt nach Prüfung der Akten - in Übereinstimmung mit der Vorinstanz - zum Schluss, dass die Vorbringen des Beschwerdeführers den Anforderungen an die Flüchtlingseigenschaft nicht standzuhalten vermögen. Auf die betreffenden Ausführungen in der angefochtenen Verfügung (vgl. oben E. 5.1; Verfügung des SEM vom 21. Januar 2020, Ziff. II) kann mit den nachfolgenden Ergänzungen verwiesen werden. Die Ausführungen auf Beschwerdeebene führen zu keiner anderen Betrachtungsweise.</w:t>
      </w:r>
    </w:p>
    <w:p>
      <w:r>
        <w:rPr>
          <w:b/>
        </w:rPr>
        <w:t>E. 6.2</w:t>
      </w:r>
    </w:p>
    <w:p>
      <w:r>
        <w:t>Wie die Vorinstanz zutreffend ausführte, hat der Bundesrat Ghana als verfolgungssicheren Staat im Sinne von Art. 6a Abs. 2 Bst. a AsylG bezeichnet (vgl. dazu Anhang 2 der Asylverordnung 1 vom 11. August 1999 [AsylV 1, SR 142.311]). Die Bezeichnung eines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substanziierter Hinweise umgestossen werden, wobei die Beweislast des Gegenteils der asylsuchenden Person obliegt (vgl. BVGE 2013/10 E. 7.4.3). Der Beschwerdeführer vermag mit seinen Vorbringen die vorgenannte Regelvermutung (Gewährleistung von Schutz vor nichtstaatlicher Verfolgung in Ghana) nicht umzustossen. Es liegen keine konkreten Hinweise für eine Schutzverweigerung oder Schutzunfähigkeit der ghanaischen Behörden vor. Der Beschwerdeführer hat - abgesehen von der Anzeige bezüglich der Vorkommnisse in Zusammenhang mit der gepachteten Farm (vgl. SEM-Akte 1056163-17/17; nachfolgend Akte 17, F59-65) - nicht erwähnt, je den Versuch unternommen zu haben, Schutz bei den lokalen Behörden zu erlangen (vgl. Akte 17, F57-58). Damit hat er die Schutzsuche in Ghana offensichtlich nicht ausgeschöpft, wozu er jedoch gehalten gewesen wäre. Aufgrund der Subsidiarität des Asyls hätte er sich an die zuständigen Behörden in Ghana wenden müssen, bevor er in der Schweiz um Schutz ersucht hat. Auch mit dem pauschalen Vorbringen, dass der ghanaische Staat bei Problemen in Zusammenhang mit spirituellen Handlungen nicht schutzfähig sei (vgl. Akte 17, F57-58, F66-68), vermag der Beschwerdeführer die beschriebene Regelvermutung der bestehenden Schutzfähigkeit und -willigkeit der ghanaischen Behörden nicht umzustossen. Dasselbe gilt für den Verweis auf den Bericht der BFA Staatendokumentation zu Ghana vom Januar 2018 (vgl. Sachverhalt oben, Bst. B.b), zumal dies keinen konkreten Bezug zur Person des Beschwerdeführers und dessen individuellen Asylvorbringen aufweist.</w:t>
      </w:r>
    </w:p>
    <w:p>
      <w:r>
        <w:rPr>
          <w:b/>
        </w:rPr>
        <w:t>E. 6.3</w:t>
      </w:r>
    </w:p>
    <w:p>
      <w:r>
        <w:t>Schliesslich ist dem Beschwerdeführer beizupflichten, dass eine bekannt gemachte Homo- respektive Bisexualität in Ghana - entgegen der Ansicht der Vorinstanz - flüchtlingsrechtlich relevant sein kann. Demgegenüber ist festzuhalten, dass den Aussagen des Beschwerdeführers zufolge - abgesehen von seiner Familie - niemand Kenntnis von seiner sexuellen Orientierung hat (vgl. Akte 17, F83), weshalb nicht davon auszugehen ist, dass er bei einer allfälligen Rückkehr in seinen Heimatstaat allein aufgrund seiner angeblichen sexuellen Orientierung, welche überdies weitgehend unsubstantiiert geblieben ist, in absehbarer Zukunft erhebliche Nachteile zu befürchten hat.</w:t>
      </w:r>
    </w:p>
    <w:p>
      <w:r>
        <w:rPr>
          <w:b/>
        </w:rPr>
        <w:t>E. 6.4</w:t>
      </w:r>
    </w:p>
    <w:p>
      <w:r>
        <w:t>Die Vorinstanz hat demzufolge die Flüchtlingseigenschaft des Beschwerdeführers zu Recht verneint und das Asylgesuch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Zusammen mit der Bezeichnung als «Safe Country» bezeichnete der Bundesrat Ghana auch als Heimat- oder Herkunftsstaat, in den eine Rückkehr in der Regel zumutbar ist (vgl. Art. 83 Abs. 5 AIG). Vorliegend sprechen weder die allgemeine Lage in Ghana noch individuelle Gründe gegen die Zumutbarkeit des Wegweisungsvollzugs. Wie die Vorinstanz zutreffend ausgeführt hat, handelt es sich beim Beschwerdeführer um einen jungen und - abgesehen von den aktenkundigen untergeordneten Beschwerden ([...]; vgl. Sachverhalt oben, Bst. E.) - gesunden Mann, welcher über Arbeitserfahrungen in verschiedenen Tätigkeitsfeldern verfügt, namentlich im (...) und in der (...) (vgl. Akte 17, F28, F39). Ausserdem kann er mit (...) und (...) auf ein tragfähiges Beziehungsnetz zurückgreifen (vgl. Akte 17, F34, F37). Im Übrigen steht es dem Beschwerdeführer angesichts der in Ghana bestehenden medizinischen Infrastruktur offen, sich in seiner Heimat weiterbehandeln zu lassen.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Beschwerdeführer beantragt die Gewährung der unentgeltlichen Prozessführung und die Beiordnung eines amtlichen Rechtsbeistandes (Art. 65 Abs. 1 VwVG und Art. 102m Abs. 4 AsylG). Aufgrund der vorstehenden Erwägungen ergibt sich, dass seine Begehren als aussichtslos zu gelten haben. Damit ist eine der kumulativ zu erfüllenden Voraussetzungen nicht gegeben, weshalb die Gesuche ungeachtet der geltend gemachten Mittellosigkeit abzuweisen sind.</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