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D-519/2017 vom 28. November 2017</w:t>
      </w:r>
    </w:p>
    <w:p>
      <w:r>
        <w:t>Bundesverwaltungsgericht, 2017-11-28, DE</w:t>
      </w:r>
    </w:p>
    <w:p>
      <w:r>
        <w:rPr>
          <w:b/>
        </w:rPr>
        <w:t xml:space="preserve">Quelle: </w:t>
      </w:r>
      <w:r>
        <w:t>https://mcp.opencaselaw.ch/entscheid/bvger_D-519_2017</w:t>
      </w:r>
    </w:p>
    <w:p>
      <w:r>
        <w:t>FR: TAF D-519/2017 du 28 novembre 2017</w:t>
      </w:r>
    </w:p>
    <w:p>
      <w:r>
        <w:t>IT: TAF D-519/2017 del 28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Beschwerde, die durch einen Koordinationsentscheid des Bundesverwaltungsgerichts (vgl. Urteil D-7898/2015 vom 30. Januar 2017 [als Referenzurteil publiziert]) offensichtlich unbegründet geworden ist. Folglich ist der Beschwerdeentscheid nur summarisch zu begründen (Art. 111a Abs. 2 AsylG). Gestützt auf Art. 111a Abs. 1 AsylG wurde auf die Durchführung eines Schriftenwechsels verzichtet.</w:t>
      </w:r>
    </w:p>
    <w:p>
      <w:r>
        <w:rPr>
          <w:b/>
        </w:rPr>
        <w:t>E. 4</w:t>
      </w:r>
    </w:p>
    <w:p>
      <w:r>
        <w:t>Aus den in der Beschwerdeschrift aufgeführten Rechtsbegehren und deren Begründung ergibt sich, dass einzig die Frage der Flüchtlingseigenschaft zufolge subjektiver Nachfluchtgründe Gegenstand der Beschwerde bildet. Der Prozessgegenstand beschränkt sich demnach auf diese Thematik.</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6.1</w:t>
      </w:r>
    </w:p>
    <w:p>
      <w:r>
        <w:t>Das SEM führte zur Begründung des Asylentscheids aus, die Vorbringen des Beschwerdeführers, wonach er von der Frau seines Onkels schlecht behandelt worden sei, Hunger gehabt habe und wegen Konzentrationsschwierigkeiten hätte aus der Schule geworfen werden sollen, seien nicht asylrelevant. Was die grundsätzliche Furcht, in den Militärdienst eingezogen zu werden, angehe, betreffe dies die allgemeinen schwierigen politischen, wirtschaftlichen und sozialen Verhältnisse in Eritrea, von denen sehr viele Personen in gleichem Masse betroffen seien. Dies reiche für die Annahme einer begründeten Furcht nicht aus. Eine Person müsse vielmehr bereits in einem konkreten Kontakt zu den Militärbehörden gestanden haben. Der Beschwerdeführer habe aber kein Aufgebot für den Militärdienst erhalten. Auch die illegale Ausreise aus Eritrea würde den Anforderungen an die Flüchtlingseigenschaft nach Art. 3 AsylG nicht standhalten. Illegal Ausgereiste könnten straffrei nach Eritrea zurückkehren, wenn sie dies freiwillig täten und zuvor gewisse Forderungen der eritreischen Behörden erfüllt hätten (insb. Bezahlung der sogenannten Diasporasteuer von 2% und Unterzeichnung eines sogenannten Reueformulars).</w:t>
      </w:r>
    </w:p>
    <w:p>
      <w:r>
        <w:rPr>
          <w:b/>
        </w:rPr>
        <w:t>E. 6.2</w:t>
      </w:r>
    </w:p>
    <w:p>
      <w:r>
        <w:t>In der Beschwerde wird geltend gemacht, der Beschwerdeführer habe Eritrea illegal verlassen und das SEM habe diesen Umstand entgegen der ständigen Rechtsprechung des Bundesverwaltungsgerichts zu Unrecht als flüchtlingsrechtlich nicht relevant qualifiziert. Es habe Ende Juni 2016 öffentlich eine generelle Praxisänderung angekündigt, ohne dabei die vom Bundesverwaltungsgericht in BVGE 2010/54 für Praxisänderungen durch die Vorinstanz zu beachtende Regeln einzuhalten. Die Praxisänderung des SEM basiere überdies auf einer wissenschaftlich ungenügenden Quellenlage. Die Menschenrechtslage in Eritrea sei weiterhin äusserst problematisch, wie dies beispielsweise auch die spezifische Untersuchungskommission der Vereinten Nationen in einem Bericht vom 8. Juni 2016 festgehalten habe. Soweit das SEM vom Beschwerdeführer für den Fall seiner Rückkehr in das Heimatland im Ergebnis ein diskretes Verhalten verlange, erscheine dies, auch im Licht der internationalen Rechtsprechung, als problematisch.</w:t>
      </w:r>
    </w:p>
    <w:p>
      <w:r>
        <w:rPr>
          <w:b/>
        </w:rPr>
        <w:t>E. 7.1</w:t>
      </w:r>
    </w:p>
    <w:p>
      <w:r>
        <w:t>Nach dem Gesagten bleibt zu prüfen, ob der Beschwerdeführer wegen seiner (illegalen) Ausreise aus Eritrea bei einer Rückkehr dorthin befürchten müsste, ernsthaften Nachteilen im Sinne von Art. 3 AsylG ausgesetzt zu werden, und sich damit auf subjektive Nachfluchtgründe gemäss Art. 54 AsylG berufen kann.</w:t>
      </w:r>
    </w:p>
    <w:p>
      <w:r>
        <w:rPr>
          <w:b/>
        </w:rPr>
        <w:t>E. 7.2</w:t>
      </w:r>
    </w:p>
    <w:p>
      <w:r>
        <w:t>Das Bundesverwaltungsgericht ging in seiner bisherigen Rechtsprechung davon aus, dass bei einer illegalen Ausreise aus Eritrea im Falle einer Rückkehr eine Gefahr einer flüchtlingsrechtlich relevanten Bestrafung bestehe. Im Urteil D-7898/2015 vom 30. Januar 2017 (als Referenzurteil publiziert) kam das Bundesverwaltungsgericht jedoch zum Schluss, dass sich diese Praxis nicht mehr aufrechterhalten lasse und im Kontext von Eritrea die illegale Ausreise allein zur Begründung der Flüchtlingseigenschaft nicht ausreiche. Vielmehr bedürfe es hierzu zusätzlicher Anknüpfungspunkte, welche die asylsuchende Person in den Augen der eritreischen Behörden als missliebige Person erscheinen lassen würden und dadurch zu einer flüchtlingsrechtlich relevanten Verfolgungsgefahr führen könnten (vgl. a.a.O. E. 5).</w:t>
      </w:r>
    </w:p>
    <w:p>
      <w:r>
        <w:rPr>
          <w:b/>
        </w:rPr>
        <w:t>E. 7.3</w:t>
      </w:r>
    </w:p>
    <w:p>
      <w:r>
        <w:t>Die in der Beschwerde erhobenen Einwände gegen die vom SEM vorliegend angewandte Praxisänderung sind - nachdem das Bundesverwaltungsgericht diese im genannten Urteil gestützt hat - als unbehelflich einzustufen. Es erübrigt sich, vorliegend eingehend auf die im Rahmen des Beschwerdeverfahrens erhobenen Einwände gegen die Praxisänderung sowie die Argumentation in der angefochtenen Verfügung einzugehen, da dies bezüglich vollumfänglich auf das zitierte Urteil verwiesen werden kann (zur Vornahme einer Praxisänderung siehe auch Urteil des BVGer E-5296/2016 vom 17. Mai 2017 E. 7).</w:t>
      </w:r>
    </w:p>
    <w:p>
      <w:r>
        <w:rPr>
          <w:b/>
        </w:rPr>
        <w:t>E. 7.4</w:t>
      </w:r>
    </w:p>
    <w:p>
      <w:r>
        <w:t>Der Beschwerdeführer macht keinen eigenen Kontakt mit dem Militär oder den eritreischen Behörden geltend und auch andere Anknüpfungspunkte im Sinne des Referenzurteils, welche ihn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illegalen Ausreise kann mangels Asylrelevanz daher offenbleiben. Der Vollständigkeit halber bleibt schliesslich anzumerken, dass der Umstand einer künftig möglichen Einberufung in den Nationaldienst im Falle der Rückkehr nach Eritrea - wie im Referenzurteil festgehalten - ebenfalls nicht zur Annahme der Flüchtlingseigenschaft zu führen vermag.</w:t>
      </w:r>
    </w:p>
    <w:p>
      <w:r>
        <w:rPr>
          <w:b/>
        </w:rPr>
        <w:t>E. 8</w:t>
      </w:r>
    </w:p>
    <w:p>
      <w:r>
        <w:t>Zusammenfassend ist somit festzuhalten, dass keine asylrechtlich relevanten Verfolgungsgründe im Sinne von Art. 3 respektive von Art. 54 AsylG ersichtlich sind. Die Vorinstanz hat die Flüchtlingseigenschaft daher zu Recht verneint.</w:t>
      </w:r>
    </w:p>
    <w:p>
      <w:r>
        <w:rPr>
          <w:b/>
        </w:rPr>
        <w:t>E. 9.1</w:t>
      </w:r>
    </w:p>
    <w:p>
      <w:r>
        <w:t>Aus diesen Erwägungen ergibt sich, dass die angefochtene Verfügung Bundesrecht nicht verletzt und den rechtserheblichen Sachverhalt richtig sowie vollständig feststellt (Art. 106 Abs. 1 AsylG). Die Beschwerde ist abzuweisen.</w:t>
      </w:r>
    </w:p>
    <w:p>
      <w:r>
        <w:rPr>
          <w:b/>
        </w:rPr>
        <w:t>E. 9.2</w:t>
      </w:r>
    </w:p>
    <w:p>
      <w:r>
        <w:t>Die von der Vorinstanz wegen Unzumutbarkeit des Vollzugs verfügte vorläufige Aufnahme bleibt dadurch unberührt.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10. Februar 2017 gutgeheissen wurde, werden vorliegend keine Verfahrenskosten auferlegt.</w:t>
      </w:r>
    </w:p>
    <w:p>
      <w:r>
        <w:rPr>
          <w:b/>
        </w:rPr>
        <w:t>E. 10.2</w:t>
      </w:r>
    </w:p>
    <w:p>
      <w:r>
        <w:t>Mit derselben Verfügung wurde der Antrag auf amtliche Rechtsverbeiständung gutgeheissen und Frau Isabelle Müller als amtliche Rechtsbeistandin beigeordnet. Ihr ist deshalb ein amtliches Honorar zu entrichten. Die mit der Beschwerde eingereichte Auflistung des zeitlichen Aufwands erweist sich als angemessen. Unter Berücksichtigung der massgebenden Bemessungsfaktoren und der Entschädigungspraxis in Vergleichsfällen ist der amtlichen Rechtsbeiständin ein Stundenansatz von Fr. 150.- zugrunde zu legen. Der Rechtsvertreterin ist somit ein amtliches Honorar von insgesamt Fr. 700.- auszurichten.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