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D-5199/2024 vom 14. August 2024</w:t>
      </w:r>
    </w:p>
    <w:p>
      <w:r>
        <w:t>Bundesverwaltungsgericht, 2024-08-14, IT</w:t>
      </w:r>
    </w:p>
    <w:p>
      <w:r>
        <w:rPr>
          <w:b/>
        </w:rPr>
        <w:t xml:space="preserve">Quelle: </w:t>
      </w:r>
      <w:r>
        <w:t>https://mcp.opencaselaw.ch/entscheid/bvger_D-5199_2024_d20240814</w:t>
      </w:r>
    </w:p>
    <w:p>
      <w:r>
        <w:t>FR: TAF D-5199/2024 du 14 août 2024</w:t>
      </w:r>
    </w:p>
    <w:p>
      <w:r>
        <w:t>IT: TAF D-5199/2024 del 14 agosto 2024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14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Agostino Bullo</w:t>
      </w:r>
    </w:p>
    <w:p>
      <w:r>
        <w:t>Data di spedizione:</w:t>
      </w:r>
    </w:p>
    <w:p>
      <w:r>
        <w:t>D-5199/2024 Pagina 10 Comunicazione a: – ricorrente, tramite il Centro federale d'asilo di Chiasso (raccomandata; allegato: fattura) – SEM (in copia) –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