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D-5199/2010 vom 10. August 2010</w:t>
      </w:r>
    </w:p>
    <w:p>
      <w:r>
        <w:t>Bundesverwaltungsgericht, 2010-08-10, IT</w:t>
      </w:r>
    </w:p>
    <w:p>
      <w:r>
        <w:rPr>
          <w:b/>
        </w:rPr>
        <w:t xml:space="preserve">Quelle: </w:t>
      </w:r>
      <w:r>
        <w:t>https://mcp.opencaselaw.ch/entscheid/bvger_D-5199_2010</w:t>
      </w:r>
    </w:p>
    <w:p>
      <w:r>
        <w:t>FR: TAF D-5199/2010 du 10 août 2010</w:t>
      </w:r>
    </w:p>
    <w:p>
      <w:r>
        <w:t>IT: TAF D-5199/2010 del 10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Non si assegnano ripetibili.</w:t>
      </w:r>
    </w:p>
    <w:p>
      <w:r>
        <w:rPr>
          <w:b/>
        </w:rPr>
        <w:t>E. 4</w:t>
      </w:r>
    </w:p>
    <w:p>
      <w:r>
        <w:t>Comunicazione a: rappresentante del ricorrente (Raccomandata; allegato: bollettino di versamento) UFM, Divisione soggiorno, con allegato l'incarto N (...), (per corriere interno; in copia) H._______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