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D-5196/2015 vom 8. September 2015</w:t>
      </w:r>
    </w:p>
    <w:p>
      <w:r>
        <w:t>Bundesverwaltungsgericht, 2015-09-08, DE</w:t>
      </w:r>
    </w:p>
    <w:p>
      <w:r>
        <w:rPr>
          <w:b/>
        </w:rPr>
        <w:t xml:space="preserve">Quelle: </w:t>
      </w:r>
      <w:r>
        <w:t>https://mcp.opencaselaw.ch/entscheid/bvger_D-5196_2015</w:t>
      </w:r>
    </w:p>
    <w:p>
      <w:r>
        <w:t>FR: TAF D-5196/2015 du 8 septembre 2015</w:t>
      </w:r>
    </w:p>
    <w:p>
      <w:r>
        <w:t>IT: TAF D-5196/2015 del 8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kann enger als der Anfechtungsgegenstand sein, aber nicht über diesen hinausgehen.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 / Isabelle Häner, Verwaltungsverfahren und Verwaltungsrechts­pflege des Bundes, 2. Aufl., Zürich 1998, S. 149; BVGE 2009/54 E. 1.3.3 S. 777). Nachdem im Wiedererwägungsgesuch vom 23. Juni 2015 in materieller Hinsicht nur die Gutheissung des Wiedererwägungsgesuchs, soweit sie den Stopp der Wegweisung betrifft, beantragt wurde, war die Verfügung des SEM vom 27. Juli 2015 auf die Überprüfung seiner Verfügung vom 3. Juli 2014 im Wegweisungspunkt beschränkt. Entsprechend kann Gegenstand des vorliegenden Beschwerdeverfahrens auch nur die Frage sein, ob bezüglich der Zulässigkeit, Zumutbarkeit oder Möglichkeit des Wegweisungsvollzugs eine nachträglich erheblich veränderte Sachlage vorliegt. Soweit in der Beschwerdeeingabe vom 23. Juni 2015 die Gewährung des Asyls beantragt wird, liegt eine unzulässige Erweiterung des Streitgegenstands vor, weshalb auf diesen Antrag nicht eingetreten werden kann. Entsprechend hat das mit der Eingabe vom 23. Juni 2015 eingereichte Dokument des Beschwerdeführers im vorliegenden Verfahren nur insofern Relevanz, als es den Wegweisungsvollzug betrifft.</w:t>
      </w:r>
    </w:p>
    <w:p>
      <w:r>
        <w:rPr>
          <w:b/>
        </w:rPr>
        <w:t>E. 1.4</w:t>
      </w:r>
    </w:p>
    <w:p>
      <w:r>
        <w:t>Allfällige nach dem Urteil des Bundesverwaltungsgerichts vom 28. Mai 2015 eingetretene, für die Frage der Asylgewährung beziehungs­wiese Zuerkennung der Flüchtlingseigenschaft relevante Umstände wären mittels eines weiteren Asylgesuches beim SEM geltend zu machen. Eine Überprüfung der Sachumstände, welche Gegenstand des ersten, abgeschlossenen Asylverfahrens waren, wäre - bei Vorliegen von Revisionsgründen im Sinne von Art. 121 ff. BGG - nur im Rahmen eines Revisionsverfahrens möglich.</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w:t>
      </w:r>
    </w:p>
    <w:p>
      <w:r>
        <w:t>Des Weiteren ist festzuhalten, dass die Vorinstanz den Anspruch des Beschwerdeführers auf Behandlung des Wiedererwägungsgesuchs nicht in Abrede gestellt hat und auf das Wiedererwägungsgesuch eingetreten ist, auch wenn sich die Formulierungen im Wiedererwägungsentscheid vom 27. Juli 2015 nicht in allen Teilen miteinander in Einklang bringen lassen. So legte das SEM in der angefochtenen Verfügung einerseits dar, die Ausführungen des Beschwerdeführers seien zu vage, um tatsächliche Anhaltspunkte für einen Wiedererwägungsgrund entnehmen zu können (vgl. S. 2 letzter Abschnitt); auf das Wiedererwägungsgesuch sei nicht einzutreten (vgl. S. 3). Diese Argumentation lässt sich indessen nicht vereinbaren mit Ziff. 1 des Dispositivs, wonach das Wiedererwägungsgesuch abgewiesen werde (vgl. S. 4). Unvereinbar ist die Feststellung, auf das Wiedererwägungsgesuch sei nicht einzutreten, auch mit der materiellen Beurteilung der geltend gemachten Wiedererwägungsgründe. Gestützt darauf geht das Bundesverwaltungsgericht in der Folge davon aus, dass das SEM insgesamt eine materielle Prüfung des Wiedererwägungsgesuchs vorgenommen und dieses abgewiesen hat. Damit ist nachfolgend zu prüfen, ob die Vorinstanz das Gesuch zu Recht abgewiesen hat, beziehungsweise ob die seit dem Abschluss des ordentlichen Verfahrens mit Urteil des Bundesverwaltungsgerichts vom 28. Mai 2015 geltend gemachten nachträglich veränderten tatsächlichen Voraussetzungen dessen Anpassung erfordern. Im Übrigen ist festzuhalten, dass dieses Vorgehen dem Beschwerdeführer zugute kommt und seine Rechte in keiner Weise schmälert.</w:t>
      </w:r>
    </w:p>
    <w:p>
      <w:r>
        <w:rPr>
          <w:b/>
        </w:rPr>
        <w:t>E. 7.1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7.2</w:t>
      </w:r>
    </w:p>
    <w:p>
      <w:r>
        <w:t>Vorab ist festzuhalten, dass die vom Beschwerdeführer dargelegten Wiedererwägungsgründe nur unter dem Gesichtspunkt des Wegweisungsvollzugs geprüft werden, was sich aus den vorangehenden Erwägungen (vgl. Ziff. 1.3 f.) ergibt.</w:t>
      </w:r>
    </w:p>
    <w:p>
      <w:r>
        <w:rPr>
          <w:b/>
        </w:rPr>
        <w:t>E. 7.3</w:t>
      </w:r>
    </w:p>
    <w:p>
      <w:r>
        <w:t>Dabei ist dem SEM vollumfänglich beizupflichten, dass das vom Beschwerdeführer im Wiedererwägungsgesuch eingereichte Dokument, ein am 17. Oktober 2009 ausgestellter Haftbefehl, ungeachtet der Tatsache, dass das Beweismittel nur als Kopie vorliegt und somit aus diesem Grund einen geringen Beweiswert aufweist, als verspätet zu betrachten ist. Es ist realitätsfremd anzunehmen, dass der Beschwerdeführer - sollte gegen ihn in der Tat am erwähnten Datum ein Haftbefehl ergangen sein - erst im Jahr 2015 davon erfahren hätte. Seine Erklärung, der Vater habe diesen erst dank Beziehungen im Jahr 2015 und auf Wunsch des Beschwerdeführers, weitere Abklärungen zu treffen, "gefunden", ist substanzlos und damit unglaubhaft. Weder gab der Beschwerdeführer an, um welche Beziehungen es sich handelt, noch brachte er zum Ausdruck, wie der Vater konkret dazu gekommen ist, bei der Staatsanwaltschaft einen Haftbefehl zu fotografieren beziehungsweise zu kopieren. Damit sind seine diesbezüglichen Ausführungen äusserst vage und pauschal ausgefallen, was gegen die Glaubhaftigkeit spricht.</w:t>
      </w:r>
    </w:p>
    <w:p>
      <w:r>
        <w:rPr>
          <w:b/>
        </w:rPr>
        <w:t>E. 7.4</w:t>
      </w:r>
    </w:p>
    <w:p>
      <w:r>
        <w:t>Ausserdem soll ihn die Polizei ab und zu seit seiner Ausreise bei seinen Angehörigen im Heimatland gesucht haben. Unabhängig davon, in welchem Zeitraum und in welcher Häufigkeit dies vorgekommen sein soll, ist davon auszugehen, dass der Beschwerdeführer über diese Vorkommnisse von seinen Angehörigen erfahren hätte, sollten sie tatsächlich stattgefunden haben. Auch aus diesem Grund vermag seine Erklärung, der Vater habe den Haftbefehl erst im Jahr 2015 aufgefunden, nicht zu überzeugen.</w:t>
      </w:r>
    </w:p>
    <w:p>
      <w:r>
        <w:rPr>
          <w:b/>
        </w:rPr>
        <w:t>E. 7.5</w:t>
      </w:r>
    </w:p>
    <w:p>
      <w:r>
        <w:t>Darüber hinaus legte der Beschwerdeführer auch nicht mit der nötigen Substanziierung dar, aus welchen konkreten Gründen, unter welchen Umständen, in welcher Häufigkeit und seit wann er von der Polizei gesucht worden sei. Ebensowenig brachte er vor, inwiefern die geltend gemachten Suchen nach seiner Person im heutigen Zeitpunkt den Wegweisungsvollzug als unzulässig oder unzumutbar erscheinen lassen. Seine Darstellung, dies sei seit seiner Ausreise "ab und zu" passiert, ist vage und substanzlos und lässt offen, ob diese Suchen erst nach Abschluss des ordentlichen (zweiten) Asylverfahrens oder schon während dessen Dauer stattgefunden haben. Angesichts des Ausstellungsdatums vom 17. Oktober 2009 ist indessen davon auszugehen, dass er - sollte der Haftbefehl tatsächlich von der zuständigen Behörde ausgestellt worden sein - bereits ab diesem Datum polizeilich gesucht worden wäre, weshalb die nachträglich vorgebrachte Suche nach seiner Person als verspätet zu betrachten ist.</w:t>
      </w:r>
    </w:p>
    <w:p>
      <w:r>
        <w:rPr>
          <w:b/>
        </w:rPr>
        <w:t>E. 7.6</w:t>
      </w:r>
    </w:p>
    <w:p>
      <w:r>
        <w:t>Auf die überdies geltend gemachte allgemein fehlende Zumutbarkeit des Wegweisungsvollzugs (ohne Berücksichtigung individueller Umstände) ist nicht näher einzugehen, zumal das Bundesverwaltungsgericht bereits im Urteil D-4336/2014 vom 28. Mai 2015 darüber befunden hat. Eine wiederholte Beurteilung desselben Aspektes ist nicht zulässig.</w:t>
      </w:r>
    </w:p>
    <w:p>
      <w:r>
        <w:rPr>
          <w:b/>
        </w:rPr>
        <w:t>E. 7.7</w:t>
      </w:r>
    </w:p>
    <w:p>
      <w:r>
        <w:t>Weitere konkrete, den Beschwerdeführer betreffende Wegweisungshindernisse, welche als veränderte Situation aufzufassen wären, wurden im Wiedererwägungsverfahren nicht vorgebracht.</w:t>
      </w:r>
    </w:p>
    <w:p>
      <w:r>
        <w:rPr>
          <w:b/>
        </w:rPr>
        <w:t>E. 7.8</w:t>
      </w:r>
    </w:p>
    <w:p>
      <w:r>
        <w:t>Insgesamt lassen sich weder dem Wiedererwägungsgesuch noch der Beschwerde gegen den Wiedererwägungsentscheid des SEM konkrete Wiedererwägungsgründe, welche eine Änderung der Verfügung des SEM vom 27. Juli 2015 rechtfertigen würden, entnehmen. Nach dem Gesagten gelangt das Gericht zum Schluss, dass vorliegend keine erheblich veränderte Sachlage im wiedererwägungsrechtlichen Sinne vorliegt.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Angesichts der direkten Entscheidung ist das Ersuchen um Gewährung der aufschiebenden Wirkung der Beschwerde gegenstandslos geworden.</w:t>
      </w:r>
    </w:p>
    <w:p>
      <w:r>
        <w:rPr>
          <w:b/>
        </w:rPr>
        <w:t>E. 10</w:t>
      </w:r>
    </w:p>
    <w:p>
      <w:r>
        <w:t>Angesichts der offensichtlichen Aussichtslosigkeit der Beschwerdebegehren sind die Gesuche um Gewährung der unentgeltlichen Prozessführung und sinngemäss um Beiordnung eines unentgeltlichen Rechtsbeistandes ungeachtet der übrigen dazu nötigen Voraussetzungen abzuweisen.</w:t>
      </w:r>
    </w:p>
    <w:p>
      <w:r>
        <w:rPr>
          <w:b/>
        </w:rPr>
        <w:t>E. 11</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