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D-5193/2018 vom 16. Oktober 2018</w:t>
      </w:r>
    </w:p>
    <w:p>
      <w:r>
        <w:t>Bundesverwaltungsgericht, 2018-10-16, DE</w:t>
      </w:r>
    </w:p>
    <w:p>
      <w:r>
        <w:rPr>
          <w:b/>
        </w:rPr>
        <w:t xml:space="preserve">Quelle: </w:t>
      </w:r>
      <w:r>
        <w:t>https://mcp.opencaselaw.ch/entscheid/bvger_D-5193_2018</w:t>
      </w:r>
    </w:p>
    <w:p>
      <w:r>
        <w:t>FR: TAF D-5193/2018 du 16 octobre 2018</w:t>
      </w:r>
    </w:p>
    <w:p>
      <w:r>
        <w:t>IT: TAF D-5193/2018 del 16 ottobre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2.3</w:t>
      </w:r>
    </w:p>
    <w:p>
      <w:r>
        <w:t>Da vorliegend gestützt auf Art. 111a Abs. 1 AsylG kein Schriftenwechsel durchgeführt wurde, ist der Antrag auf Gewährung des Replikrechtes als gegenstandslos zu betrachten.</w:t>
      </w:r>
    </w:p>
    <w:p>
      <w:r>
        <w:rPr>
          <w:b/>
        </w:rPr>
        <w:t>E. 3.1</w:t>
      </w:r>
    </w:p>
    <w:p>
      <w:r>
        <w:t>Der Beschwerdeführer rügt einen unvollständig und unrichtig festgestellten Sachverhalt. Diese Rüge ist vorab zu prüfen, da deren Gutheissung geeignet wäre, eine Kassation zu bewirken.</w:t>
      </w:r>
    </w:p>
    <w:p>
      <w:r>
        <w:rPr>
          <w:b/>
        </w:rPr>
        <w:t>E. 3.2</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1043).</w:t>
      </w:r>
    </w:p>
    <w:p>
      <w:r>
        <w:rPr>
          <w:b/>
        </w:rPr>
        <w:t>E. 3.3</w:t>
      </w:r>
    </w:p>
    <w:p>
      <w:r>
        <w:t>Soweit der Beschwerdeführer zur Begründung dieser Rüge auf seine bereits aktenkundigen Vorbringen verweist, ist darauf nicht weiter einzugehen. Sodann ist festzustellen, dass die Vorinstanz im angefochtenen Entscheid die Asylgründe des Beschwerdeführers beziehungsweise die Situation in seiner Heimat einlässlich würdigte. Angesichts der fehlenden Asylrelevanz des vorgetragenen Sachverhalts und der gesamten Aktenlage konnte darauf verzichtet werden, weitere Abklärungen vorzunehmen. Ferner kam die Vorinstanz nach Würdigung der Parteivorbringen respektive der aktuellen Situation in der Heimat des Beschwerdeführers zu einem anderen Schluss als dieser, was keine unvollständige Sachverhaltsfeststellung darstellt. Entgegen der Beschwerde hat sich die Vorinstanz in der angefochtenen Verfügung durchaus auf die aktuelle Lage bezogen ([...]) und zudem auf das bundesverwaltungsgerichtliche Referenzurteil E-3737/2015 vom 14. Dezember 2015 verwiesen, dessen Lageeinschätzung nach wie vor gilt (vgl. unten E. 8.5.2).</w:t>
      </w:r>
    </w:p>
    <w:p>
      <w:r>
        <w:rPr>
          <w:b/>
        </w:rPr>
        <w:t>E. 4.1</w:t>
      </w:r>
    </w:p>
    <w:p>
      <w:r>
        <w:t>Zur Begründung ihrer abweisenden Verfügung führte die Vorinstanz aus, dass die Vorbringen den Anforderungen an die Flüchtlingseigenschaft gemäss Art. 3 AsylG nicht standhalten würden. Im Rahmen von Krieg oder einer Situation allgemeiner Gewalt erlittene Nachteile würden keine Verfolgung im Sinne des Asylgesetzes darstellen, soweit sie nicht auf der Absicht beruhten, einen Menschen aus einem der in Art. 3 AsylG erwähnten Gründe zu treffen. Die vom Beschwerdeführer vorgebrachten Nachteile und Ängste seien auf die bürgerkriegsähnliche Situation in seiner Heimat zurückzuführen. In einem Kriegsgebiet laufe jeder und jede Gefahr zum Opfer von gewaltsamen Angriffen zu werden, wobei er selbst seinen Angaben zufolge offenbar zu keinem Zeitpunkt gezielt anvisiert worden sei. Die von ihm geltend gemachten Asylgründe würden sich somit auf die allgemeine leidvolle Lage beziehen, die viele Personen im Irak gleichermassen betreffe. Gemäss konstanter Praxis komme solchen allgemeinen bürgerkriegsbedingten Nachteilen keine Asylrelevanz zu. Der Wegweisungsvollzug nach Mosul sei unzumutbar, in seinem Fall würden die Umstände aber für die Zumutbarkeit der Inanspruchnahme einer innerstaatlichen Fluchtalternative in der KRG-Region sprechen.</w:t>
      </w:r>
    </w:p>
    <w:p>
      <w:r>
        <w:rPr>
          <w:b/>
        </w:rPr>
        <w:t>E. 4.2</w:t>
      </w:r>
    </w:p>
    <w:p>
      <w:r>
        <w:t>In der Beschwerde wird dagegen vorgebracht, dass die Einschätzung der Vorinstanz, dass der Beschwerdeführer die Anforderungen an die Flüchtlingseigenschaft nicht erfülle, da den allgemeinen bürgerkriegsbedingten Nachteilen keine Asylrelevanz zukomme, nicht haltbar sei. In seiner Heimatstadt Mosul habe er erlebt, wie junge Männer zwangsweise und unter Androhung, getötet zu werden, rekrutiert worden seien. Er habe sich als junger kurdischer Mann, der Militärdienst geleistet habe, und somit konkret gefährdet gewesen sei, auch rekrutiert zu werden, gezwungen gesehen, innerhalb des Iraks und später ins Ausland zu fliehen. Dass gerade junge Männer immer wieder zum Ziel von Angriffen geworden seien, habe er mit eigenen Augen erlebt, als ein Freund von ihm aufgrund eines Telefonats umgebracht worden sei. Wie den Protokollen der ersten Anhörung sowie der Bundesanhörung entnommen werden könne, kämpfe er immer noch sichtlich mit der Verarbeitung der Erlebnisse, die er habe mitansehen müssen, springe er doch immer wieder zu anderen Ausführungen anstatt direkt auf die ihm gestellten Fragen zu antworten. Zur Aufarbeitung der Geschehnisse sei wohl eine Therapie erforderlich, welche im Irak nicht möglich sein werde. Junge Männer würden immer noch als Gefahr angesehen, weshalb er bei einer Rückkehr in den Irak damit rechnen müsste, getötet zu werden. Insgesamt bestehe eine beträchtliche Wahrscheinlichkeit und eine begründete Furcht, dass er bei einer Rückkehr in den Irak asylrelevanter Verfolgung ausgesetzt wäre, weshalb er als Flüchtling anzuerkennen und ihm Asyl zu gewähren sei. Darüber hinaus sei die Sicherheitslage im Nordirak keinesfalls gefestigt, weshalb ihm eine Wegweisung dorthin zum jetzigen Zeitpunkt nicht zugemutet werden könne. Wie die Vorinstanz in ihrer Verfügung richtigerweise anführe, sei ein Wegweisungsvollzug nach Mosul nicht zumutbar; sie stelle dann aber pauschalisierend fest, dass die KRG-Region dagegen kaum von der Gewalt, welche im Zentral- und Südirak herrsche, betroffen sei, weshalb für alleinstehende junge Kurden somit eine innerstaatliche Fluchtalternative zu prüfen sei. Das SEM stelle zwar fest, dass sich die Konfliktlage im Irak durch eine grosse Volatilität und Dynamik auszeichne, womit die allgemeinen Aussagen zur Sicherheits- und Menschenrechtslage rasch ihre Gültigkeit verlören. Aber statt eine aktuelle Einschätzung abzugeben, berufe sich das SEM auf Berichte vom 24. Februar 2015 oder älter. Da es das SEM in der angefochtenen Verfügung unterlassen habe, über die aktuelle Situation in der KRG-Region zu berichten, würden mit der Beschwerdeschrift einige Medienmitteilungen zum Nachweis der Unzumutbarkeit des Wegweisungsvollzugs eingereicht. Sodann fordere die bundesverwaltungsgerichtliche Praxis für den Wegweisungsvollzug in die KRG-Region, dass die betreffende Person ursprünglich aus dem Gebiet stamme und dort nach wie vor über ein soziales Netz verfüge. Diese Voraussetzungen würden von ihm aber nicht erfüllt: Er habe sein Leben in Mosul verbracht und sich nur kurz im Nordirak aufgehalten, bevor er endgültig ausgereist sei. Zudem habe er sich dort nie willkommen gefühlt. Es lebe auch niemand mehr von der Familie (...) in C._______. Er könne keine Angaben zum Aufenthaltsort der Familie machen, da er keinen Kontakt mehr habe. Es sei davon auszugehen, dass auch sie aufgrund der zurzeit instabilen Lage den Nordirak verlassen hätten. Aufgrund der innenpolitischen Spannungen zwischen der irakischen Zentralregierung und der kurdischen Regionalregierung könne zurzeit keinesfalls die Rede von der Zumutbarkeit der innerstaatlichen Fluchtalternative sein. Die Annahme der Vorinstanz, er könne sich dort eine erfolgreiche Existenz aufbauen, sei absurd. Nicht einmal Hilfsorganisationen seien zurzeit in der Lage ihrer Arbeit im Nordirak nachzugehen.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Schlussfolgerungen der Vorinstanz sind weder in tatsächlicher noch in rechtlicher Hinsicht zu beanstanden. Die Vorinstanz hat zutreffend festgestellt, dass allgemeine im Rahmen eines Krieges oder Bürgerkriegs erlittene Nachteile keine Verfolgung im Sinne des Asylgesetzes darstellen, da es an der Gezieltheit der Verfolgung fehlt. Zweifellos kann sich auch in Kriegs- oder Bürgerkriegssituationen eine gezielte, asylrechtlich relevante, den Kriterien von Art. 3 AsylG entsprechende Verfolgung ereignen. Individuell gezielte, von asylrechtlich relevanter Verfolgungsmotivation getragene Nachteile sind jedoch nur dann anzunehmen, wenn eine Person nicht lediglich den gleichen Risiken und Einschränkungen wie die gesamte Bevölkerung des Heimatstaates oder ein beträchtlicher Teil davon ausgesetzt ist, und somit von den Ereignissen nicht lediglich "reflexartig", im Sinne ungezielter "Nebenfolgen" des Krieges oder Bürgerkriegs, betroffen ist, sondern als individuelle Person wegen ihrer politischen Anschauung, ihrer Rasse, Religion, Nationalität oder eines anderen flüchtlingsrechtlich relevanten Grundes in asylrechtlich relevanter Intensität belangt wird (vgl. Entscheidungen und Mitteilungen der Schweizerischen Asylrekurskommission [EMARK] 1998 Nr. 17 S. 153 E. 4 c, bb). Dies ist für den Beschwerdeführer zu verneinen, da die von ihm vorgebrachten Nachteile und Ängste im Zusammenhang mit dem IS auf die bürgerkriegsbedingte Situation in der Heimat zurückzuführen ist, zumal der Beschwerdeführer gemäss eigenen Angaben selber keine konkreten Probleme mit dem IS beziehungsweise den Dschihadisten gehabt hat ([...]). Selbst wenn jedoch die Vorbringen des Beschwerdeführers als asylrelevant zu qualifizieren wären, wäre aber in Übereinstimmung mit der Vor-instanz eine zumutbare innerstaatliche Schutzalternative in der KRG-Region zu bejahen (vgl. BVGE 2008/4 sowie unten, E. 8.5.3), da der Beschwerdeführer kurdischer Ethnie ist, sein (Verwandter) eine (zeitlich unbegrenzte) Bürgschaft für seine damalige Einreise in die Region beziehungsweise den Aufenthalt geleistet hat ([...]), er sich bereits einige Monate dort aufgehalten hat und während dieses Aufenthalts keine Probleme gehabt hat ([...]).</w:t>
      </w:r>
    </w:p>
    <w:p>
      <w:r>
        <w:rPr>
          <w:b/>
        </w:rPr>
        <w:t>E. 5.4</w:t>
      </w:r>
    </w:p>
    <w:p>
      <w:r>
        <w:t>Die Vorinstanz hat demnach zu Recht die Flüchtlingseigenschaft des Beschwerdeführers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KRG-Region ist demnach unter dem Aspekt von Art. 5 AsylG rechtmässig.</w:t>
      </w:r>
    </w:p>
    <w:p>
      <w:r>
        <w:rPr>
          <w:b/>
        </w:rPr>
        <w:t>E. 7.2.3.1</w:t>
      </w:r>
    </w:p>
    <w:p>
      <w:r>
        <w:t>Sodann ergeben sich weder aus den Aussagen des Beschwerdeführers noch aus den Akten Anhaltspunkte dafür, dass er für den Fall einer Ausschaffung in die KRG-Region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Erwägungen zum Asylpunkt indessen nicht gelungen.</w:t>
      </w:r>
    </w:p>
    <w:p>
      <w:r>
        <w:rPr>
          <w:b/>
        </w:rPr>
        <w:t>E. 7.2.3.2</w:t>
      </w:r>
    </w:p>
    <w:p>
      <w:r>
        <w:t>Auch die allgemeine Menschenrechtssituation in der KRG-Region lässt den Wegweisungsvollzug zum heutigen Zeitpunkt klarerweise nicht als unzulässig erscheinen: Bereits in BVGE 2008/5 hatte das Bundesverwaltungsgericht festgestellt, dass der Vollzug der Wegweisung eines Kurden in die KRG-Region nicht generell unzulässig sei. Es hat diese Einschätzung in seinem Referenzurteil E-3737/2015 vom 14. Dezem-ber 2015 bestätigt (a.a.O. E. 6.3.2) und seither beibehalten (vgl. auch die Urteile des BVGer E-882/2018 vom 15. August 2018 E. 8.4.4 sowie D-1477/2018 vom 10. August 2018 E. 7.3.4). Nach dem Gesagten ist der Vollzug der Wegweisung sowohl im Sinne der landes-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Im oben erwähnten Urteil BVGE 2008/5 - in dem eine einlässliche Auseinandersetzung mit der Frage der Zumutbarkeit des Wegweisungsvollzugs in die drei damaligen kurdischen Provinzen des Nordiraks (Dohuk, Erbil und Sulaimaniyah) stattfand - hielt das Bundesverwaltungsgericht fest, dass sich sowohl die Sicherheits- als auch die Menschenrechtslage in dieser Region im Verhältnis zum restlichen Irak relativ gut darstellt.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Urteil E-3737/2015 wurde die Lage im Nordirak und die Zumutbarkeitspraxis neuerlich überprüft (vgl. E. 7.4). Festgestellt wurde,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D-1477/2018 vom 10. August 2018 E. 7.3.7 und E-882/2018 vom 15. August 2018 E. 8.5.3).</w:t>
      </w:r>
    </w:p>
    <w:p>
      <w:r>
        <w:rPr>
          <w:b/>
        </w:rPr>
        <w:t>E. 7.3.3</w:t>
      </w:r>
    </w:p>
    <w:p>
      <w:r>
        <w:t>Beim Beschwerdeführer handelt es sich um einen gesunden, alleinstehenden Mann, der gemäss eigenen Angaben eine vielfältige Berufserfahrung, etwa als (...) ([...]) oder als (...) ([...]), vorweisen kann und dessen (Verwandter) bei seiner damaligen Einreise in die KRG-Region beziehungsweise für den dortigen Aufenthalt eine (zeitlich unbegrenzte) Bürgschaft geleistet hat. Das Vorbringen, von den zahlreichen Verwandten (...) lebe, wie in der Beschwerde vorgetragen, niemand mehr in C._______ beziehungsweise D._______, ist als unbelegte Schutzbehauptung zu qualifizieren. Zudem erwähnte der Beschwerdeführer in der Anhörung zusätzliche Verwandte, etwa einen (...) und einen (...), dessen Frau über Verwandte verfüge, welche für die Peshmerga beziehungsweise den Asaish tätig seien ([...]). Angesichts dessen ist davon auszugehen, dass der Beschwerdeführer nach wie vor über ein Beziehungsnetz verfügt, dass ihn bei seiner Rückkehr unterstützen kann.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Die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