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D-5178/2022 vom 7. Oktober 2022</w:t>
      </w:r>
    </w:p>
    <w:p>
      <w:r>
        <w:t>Bundesverwaltungsgericht, 2022-10-07, DE</w:t>
      </w:r>
    </w:p>
    <w:p>
      <w:r>
        <w:rPr>
          <w:b/>
        </w:rPr>
        <w:t xml:space="preserve">Quelle: </w:t>
      </w:r>
      <w:r>
        <w:t>https://mcp.opencaselaw.ch/entscheid/bvger_D-5178_2022_d20221007</w:t>
      </w:r>
    </w:p>
    <w:p>
      <w:r>
        <w:t>FR: TAF D-5178/2022 du 7 octobre 2022</w:t>
      </w:r>
    </w:p>
    <w:p>
      <w:r>
        <w:t>IT: TAF D-5178/2022 del 7 ottobre 2022</w:t>
      </w:r>
    </w:p>
    <w:p>
      <w:pPr>
        <w:pStyle w:val="Heading2"/>
      </w:pPr>
      <w:r>
        <w:t>Regeste</w:t>
      </w:r>
    </w:p>
    <w:p>
      <w:r>
        <w:t>Asyl und Wegweisung | Asyl und Wegweisung; Verfügung des SEM vom 7. Oktober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Der Subeventualantrag auf Rückweisung der Sache an die Vorinstanz wird lediglich damit begründet, weitere Abklärungen seien vorzunehmen, «so- weit weiterhin Zweifel an der Glaubhaftigkeit der Aussagen und Beweismit- tel [bestünden]» (vgl. Beschwerde, S. 15). Aus der Beschwerdebegrün- dung geht demnach nicht ansatzweise hervor, auf welche allfälligen Män- gel im vorinstanzlichen Verfahren sich diese formelle Rüge bezieht. Die Rüge ist daher als ungenügend begründet zu erachten, zumal auch von Amtes wegen keine wesentliche Verletzung der Untersuchungspflicht fest- gestellt werden kann und der rechtserhebliche Sachverhalt spruchreif er- scheint. Die Frage, ob das Gericht die Vorbringen für glaubhaft respektive beweisen erachtet, ist demgegenüber eine materielle, die im Folgenden zu behandeln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D-5178/2022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der Beschwerdeführenden weder den An- forderungen an die Flüchtlingseigenschaft noch denjenigen an die Glaub- haftigkeit standhalten würden. Die Schilderungen des Beschwerdeführers zu seiner Entführung liessen jegliche persönliche Färbung vermissen und wiesen keine Dichte an Realkennzeichen auf. Ferner sei auch nicht nach- vollziehbar, dass er keinen Anwalt damit beauftragt habe, dem angeblich durch den Ex-Ehemann eingeleiteten Verfahren gegen ihn nachzugehen. Ohnehin mangle es dem Geltendgemachten an flüchtlingsrechtlicher Re- levanz, handle es sich doch um Verfolgungsmassnahmen ohne asylrecht- lich relevante Motivation durch private Dritte und demnach nicht um eine staatliche Verfolgung. Darüber hinaus sei es den Beschwerdeführenden möglich, sich diesen lokal respektive regional beschränkten Schikanen durch einen innerstaatlichen Umzug zu entziehen. Übergriffe durch private Dritte ahnde der sri-lankische Staat ohnehin, weshalb sie sich diesbezüg- lich an die Behörden zu wenden hätten. Dass der Onkel des Ex-Eheman- nes über grossen politischen Einfluss verfüge, sei lediglich die subjektive Einschätzung der Beschwerdeführenden. Ohnehin sei die angebliche Ver- wandtschaft zwischen ihnen und dem Vorgenannten nicht belegt.</w:t>
      </w:r>
    </w:p>
    <w:p>
      <w:r>
        <w:t>D-5178/2022 Seite 6</w:t>
      </w:r>
    </w:p>
    <w:p>
      <w:r>
        <w:rPr>
          <w:b/>
        </w:rPr>
        <w:t>E. 6.2</w:t>
      </w:r>
    </w:p>
    <w:p>
      <w:r>
        <w:t>In der Beschwerdeschrift wird im Wesentlichen an der Glaubhaftigkeit der Vorbringen der Beschwerdeführenden festgehalten. So hätten sie die jahrelangen Schikanen durch den Ex-Ehemann der Beschwerdeführerin sowie die Umstände der wohl durch diesen veranlassten Entführung aus- führlich und widerspruchsfrei zu Protokoll gegeben. Zudem seien die fami- lienrechtlichen Streitigkeiten mit dem Vorgenannten gut dokumentiert und sprächen ebenfalls für die Glaubhaftigkeit der geltend gemachten «white van»-Entführung. Darüber hinaus verkenne die Vorinstanz, dass es sich vorliegend um eine Verfolgung aufgrund des Geschlechts der Beschwer- deführerin und der Religionszugehörigkeit des Beschwerdeführers handle, weshalb eine asylrelevante Verfolgung durchaus vorliege. Angesichts des- sen, dass die in den familienrechtlichen Angelegenheiten gegen ihren Ex- Ehemann ergangenen Gerichtsurteile nicht durchgesetzt worden und ihre diesbezüglichen Anzeigen bei der sri-lankischen Polizei erfolglos geblieben seien, sei denn auch erstellt, dass der sri-lankische Staat nicht schutzfähig und schutzwillig sei.</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Die Beschwerdeführenden vermochten weder die geltend gemachten Verleumdungen und Drohungen in ihrem sozialen Umfeld respektive an ihrem Arbeitsplatz noch ihr Hauptvorbringen, die angebliche «white van»- Entführung des Beschwerdeführers durch den Ex-Ehemann der Beschwer- deführerin und ein daraus resultierendes Strafverfahren gegen ihn glaub- haft zu machen.</w:t>
      </w:r>
    </w:p>
    <w:p>
      <w:r>
        <w:rPr>
          <w:b/>
        </w:rPr>
        <w:t>E. 7.2.1</w:t>
      </w:r>
    </w:p>
    <w:p>
      <w:r>
        <w:t>Trotz mehrfacher Aufforderung, die Umstände der angeblichen Ent- führung substantiiert darzulegen, vermochten die Beschwerdeführenden diese nicht detailliert zu beschreiben (vgl. beispielsweise A28/10 F20 und A48/22 F47, F55, F57). Insbesondere die Erzählungen des Beschwerde- führers als angebliches Entführungsopfer erschöpfen sich in repetitiven Wiedergaben von allgemeinen Handlungsabläufen. Seine Detailarmut lässt vermuten, dass er das Geschilderte nicht selbst erlebte, sondern</w:t>
      </w:r>
    </w:p>
    <w:p>
      <w:r>
        <w:t>D-5178/2022 Seite 7 anhand von ihm Bekanntem konstruierte. Der diesbezügliche Erklärungs- versuch in der Beschwerdeschrift, es falle ihm schwer, über das Erlebte zu sprechen, erscheint ausweichend und vermag nicht zu überzeugen. Ohne- hin ist nicht nachvollziehbar, weshalb es überhaupt der Entführung des Be- schwerdeführers bedurft haben soll, nachdem die Beschwerdeführenden angaben, der Ex-Ehemann habe durch seinen Onkel grossen politischen Einfluss. Bei Wahrunterstellung dieses Vorbringens wäre nämlich anzu- nehmen, dass die Vorgenannten ohne weiteres ein Verfahren gegen den Beschwerdeführer hätten anhängig machen respektive Beweise fälschen können, ohne ihn vorrangig zu entführen. Angesichts dessen, dass sie mehrfach eingestanden, in der Vergangenheit – unter anderem in der Sor- gerechtsstreitigkeit zwischen der Beschwerdeführerin und ihrem Ex-Ehe- mann – (erfolgreich) gerichtlich gegen Letzteren vorgegangen zu sein und dass die Behörden die Beschwerdeführerin auch im Scheidungsverfahren unterstützt hätten (vgl. A47/18 F10 ff. und F69), erweist sich auch die pau- schale Behauptung in der Beschwerdeschrift, da «eine Anzeige nichts [brächte]» (vgl. Beschwerde S. 10), sei es verständlich, dass die Be- schwerdeführenden die (angebliche) Entführung nicht angezeigt hätten, unbehelflich. Die unbelegte Behauptung, dass gegen den Beschwerdefüh- rer ein Verfahren wegen einer angeblichen Beteiligung an den Osterbom- benanschlägen eingeleitet worden sei und seine Mutter durch das CID auf- gesucht worden sei, erscheint denn ohnehin konstruiert, zumal der Be- schwerdeführer während seiner Anhörung die Bedeutung der Abkürzung «CID» nicht einmal zu erklären vermochte (vgl. A48/22 F36 f.). Die diesbe- züglich auf Beschwerdeebene eingereichte Vorladung (vgl. Beschwerde- beilage 13) vermag daran nichts zu ändern, zumal handschriftlich erstellte Dokumente – wie das vorgenannte – kaum Fälschungssicherheit aufwei- sen. Gegen die geltend gemachte Bedrohungslage spricht ohnehin, dass die Beschwerdeführenden offenbar problemlos auf legalem Weg aus Sri Lanka ausreisten und nach ihrer Einreise in die Schweiz den Ablauf ihres Schengen-Visums abwarteten, bevor sie um Asyl nachsuchten, zumal sie letzteres ihren eigenen Angaben nach nie beabsichtigten hatten (vgl. A26/14 F72, F76 und A48/22 F28). Zwar ist angesichts der dokumen- tierten Sorgerechtsstreitigkeiten zwischen der Beschwerdeführerin und ih- rem Ex-Ehemann nicht auszuschliessen, dass es in der Vergangenheit zu Spannungen kam, doch gelingt es den Beschwerdeführenden auch auf Be- schwerdeebene nicht, die geltend gemachten Schikanen glaubhaft zu ma- chen. Wie die Beschwerdeführenden denn selbst eingestanden, vermögen sie überdies für das Geltendgemachte keinerlei Beweise vorzulegen (vgl. A47/18 F38). So geht den aus dem eingereichten «Warning Letter» keineswegs hervor, dass die Verwarnung des Beschwerdeführers durch</w:t>
      </w:r>
    </w:p>
    <w:p>
      <w:r>
        <w:t>D-5178/2022 Seite 8 seinen Arbeitgeber auf den Ex-Ehemann zurückzuführen ist (vgl. A26/14 F80). Vielmehr ist dem Schreiben, sofern von dessen Authentizität auszu- gehen ist, zu entnehmen, dass der Beschwerdeführer seinen beruflichen Pflichten nicht nachkam, weshalb sein Arbeitgeber ihn abmahnte (vgl. BM5). Darüber hinaus ist denn auch nicht logisch nachvollziehbar, wa- rum der Ex-Ehemann die Beschwerdeführenden einerseits offen bedroht und sie in ihrem sozialen Umfeld verunglimpft haben soll, um sie an ande- rer Stelle anonym zu schikanieren (vgl. A26/14 F80, A47/18 F26, F38, F49 und A48/22 F106).</w:t>
      </w:r>
    </w:p>
    <w:p>
      <w:r>
        <w:rPr>
          <w:b/>
        </w:rPr>
        <w:t>E. 7.3</w:t>
      </w:r>
    </w:p>
    <w:p>
      <w:r>
        <w:t>Aufgrund der Aktenlage ist im Weiteren nicht davon auszugehen, dass bei den Beschwerdeführenden Risikofaktoren vorliegen, welche bei einer Rückkehr nach Sri Lanka zu einer flüchtlingsrechtlich relevanten Verfol- gung führen könnten (vgl. dazu das Urteil des BVGer E-1866/2015 vom 15. Juli 2016 [als Referenzurteil publiziert]). Familiäre Verbindungen oder eigene Unterstützungshandlungen zugunsten der Liberation Tigers of Ta- mil Eelam (LTTE) machten sie zu keinem Zeitpunkt geltend. Ferner sind auch keine politischen oder exilpolitischen Aktivitäten der Beschwerdefüh- renden aktenkundig. Zudem wurden sie nie festgenommen, angeklagt oder gar verurteilt und sind insbesondere nie als Befürworter des tamilischen Separatismus in Erscheinung getreten. Ihren eigenen Angaben zufolge war es ihnen offensichtlich problemlos möglich, mit ihren gültigen Reisepässen (vgl. BM 1 und 2) den Heimatstaat legal zu verlassen. Damit bestehen keine Anhaltspunkte für die Annahme, dass sie in Sri Lanka einschlägig registriert wären oder gar auf einer Fahndungsliste der heimatlichen Be- hörden stünden und im Falle ihrer Rückkehr einer erhöhten Verfolgungs- gefahr ausgesetzt wären. Aus der Schweiz nach Sri Lanka zurückkehrende tamilische Asylsuchende sind sodann nicht per se einer reellen Gefahr aus- gesetzt, bei ihrer Rückkehr ernsthafte Nachteile im Sinne von Art. 3 AsylG zu erleiden, sondern nur dann, wenn die sri-lankischen Behörden das Ver- halten der zurückkehrenden Person mutmasslich als staatsfeindlich einstu- fen. Diese Voraussetzung ist mit Blick auf die vorstehenden Erwägungen vorliegend nicht erfüllt. Die Beschwerdeführenden vermögen schliesslich weder aus der Situation seit dem Machtwechsel im Jahr 2019 noch aus der aktuellen Lage in Sri Lanka nach der Wahl von Ranil Wickremesinghe zum neuen Staatspräsidenten im Juli 2022 eine individuelle flüchtlingsrechtlich relevante Gefährdung abzuleiten.</w:t>
      </w:r>
    </w:p>
    <w:p>
      <w:r>
        <w:rPr>
          <w:b/>
        </w:rPr>
        <w:t>E. 7.4</w:t>
      </w:r>
    </w:p>
    <w:p>
      <w:r>
        <w:t>Zusammenfassend ist festzustellen, dass es den Beschwerdeführen- den nicht gelungen ist, ihre Flüchtlingseigenschaft nachzuweisen oder zu- mindest glaubhaft zu machen. Es kann darauf verzichtet werden, auf die</w:t>
      </w:r>
    </w:p>
    <w:p>
      <w:r>
        <w:t>D-5178/2022 Seite 9 weiteren Vorbringen in der Beschwerde und die übrigen Beweismittel ein- zugehen, da sie an der Würdigung des vorliegenden Sachverhalts nichts zu ändern vermögen. Die Vorinstanz hat demnach zu Recht die Flücht- lingseigenschaft der Beschwerdeführenden verneint und ihre Asylgesuche abgelehnt.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t>D-5178/2022 Seite 10</w:t>
      </w:r>
    </w:p>
    <w:p>
      <w:r>
        <w:rPr>
          <w:b/>
        </w:rPr>
        <w:t>E. 9.2.2</w:t>
      </w:r>
    </w:p>
    <w:p>
      <w:r>
        <w:t>Das Prinzip des flüchtlingsrechtlichen Non-Refoulement schützt nur Personen,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Hei- matstaat ist demnach unter dem Aspekt von Art. 5 AsylG rechtmässig.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würden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7). Die vom EGMR genannten Faktoren sind im Wesentlichen durch die im Referenzurteil des Bundesverwaltungs- gerichts E-1866/2015 vom 15. Juli 2016 in den Erwägungen 8.4 und 8.5 identifizierten Risikofaktoren abgedeckt. Vorliegend wurde bereits festge- stellt, dass aufgrund der Aktenlage nicht davon auszugehen ist, dass die Beschwerdeführenden bei einer Rückkehr aus der Schweiz nach Sri Lanka die Aufmerksamkeit der sri-lankischen Behörden in einem flüchtlingsrecht- lich relevanten Ausmass auf sich ziehen. Demnach bestehen auch keine Anhaltspunkte dafür, dass ihnen aus denselben Gründen eine menschen- 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w:t>
      </w:r>
    </w:p>
    <w:p>
      <w:r>
        <w:t>D-5178/2022 Seite 11</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 Nach Prüfung der Akten kommt das Gericht zum Schluss, dass die Vor- instanz zu Recht das Bestehen individueller Wegweisungsvollzugshinder- nisse verneint hat. Die jungen Beschwerdeführenden weisen eine über- durchschnittlich gute Ausbildung und jahrelange Berufserfahrung auf (vgl. A26/14 F8), weshalb zu erwarten ist, dass sie sich im Heimatstaat wirtschaftlich schnell wieder zu integrieren vermögen. Zudem leben weiter- hin zahlreiche Verwandte der Beschwerdeführenden im Heimatstaat, die sie bereits vor ihrer Ausreise teilweise unterstützten und zu welchen sie (mehrheitlich) weiterhin den Kontakt pflegen (vgl. A26/14 F59, F63; A28/10 F41 und A47/18 F55 f). Sollten die Beschwerdeführenden wider Erwarten auf Unterstützung angewiesen sein, ist demnach davon auszugehen, dass sie auf ihr umfangreiches Beziehungsnetz zurückgreifen können. Auch das Kindeswohl ihres nur wenige Monate alten gemeinsamen Kindes steht ei- nem Wegweisungsvollzug offensichtlich nicht entgegen, zumal es gemein- sam mit seinen ebenfalls weggewiesenen Eltern – seinen wichtigsten Be- zugspersonen – nach Sri Lanka zurückkehren kann. Gleiches gilt für die beim Beschwerdeführer diagnostizierte arterielle Hypertonie und das</w:t>
      </w:r>
    </w:p>
    <w:p>
      <w:r>
        <w:t>D-5178/2022 Seite 12 Asthma der Beschwerdeführerin (vgl. A20/2 und A22/2), da es sich dabei nicht um schwere Erkrankungen handelt und allenfalls notwendige Medi- kamente in Sri Lanka erhältlich gemacht werden können. Nach dem Ge- sagten erweist sich der Vollzug der Wegweisung sowohl in genereller als auch in individueller Hinsicht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Sie sind durch den in gleicher Höhe geleisteten Kostenvorschuss gedeckt.</w:t>
      </w:r>
    </w:p>
    <w:p>
      <w:r>
        <w:t>(Dispositiv nächste Seite)</w:t>
      </w:r>
    </w:p>
    <w:p>
      <w:r>
        <w:t>D-5178/2022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