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D-5178/2022 vom 6. September 2023</w:t>
      </w:r>
    </w:p>
    <w:p>
      <w:r>
        <w:t>Bundesverwaltungsgericht, 2023-09-06, DE</w:t>
      </w:r>
    </w:p>
    <w:p>
      <w:r>
        <w:rPr>
          <w:b/>
        </w:rPr>
        <w:t xml:space="preserve">Quelle: </w:t>
      </w:r>
      <w:r>
        <w:t>https://mcp.opencaselaw.ch/entscheid/bvger_D-5178_2022</w:t>
      </w:r>
    </w:p>
    <w:p>
      <w:r>
        <w:t>FR: TAF D-5178/2022 du 6 septembre 2023</w:t>
      </w:r>
    </w:p>
    <w:p>
      <w:r>
        <w:t>IT: TAF D-5178/2022 del 6 settembre 2023</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ist einzu- 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2015/186 E. 5).</w:t>
      </w:r>
    </w:p>
    <w:p>
      <w:r>
        <w:rPr>
          <w:b/>
        </w:rPr>
        <w:t>E. 3</w:t>
      </w:r>
    </w:p>
    <w:p>
      <w:r>
        <w:t>Die vorliegende Beschwerde erweist sich – wie nachstehend aufgezeigt – als offensichtlich unbegründet und ist im Verfahren einzelrichterlicher Zu- ständigkeit mit Zustimmung eines zweiten Richters (Art. 111 Bst. e AsylG), ohne Weiterungen und mit summarischer Begründung zu behandeln (Art. 111a Abs. 1 und 2 AsylG).</w:t>
      </w:r>
    </w:p>
    <w:p>
      <w:r>
        <w:rPr>
          <w:b/>
        </w:rPr>
        <w:t>E. 4</w:t>
      </w:r>
    </w:p>
    <w:p>
      <w:r>
        <w:t>Der Subeventualantrag auf Rückweisung der Sache an die Vorinstanz wird lediglich damit begründet, weitere Abklärungen seien vorzunehmen, «so- weit weiterhin Zweifel an der Glaubhaftigkeit der Aussagen und Beweismit- tel [bestünden]» (vgl. Beschwerde, S. 15). Aus der Beschwerdebegrün- dung geht demnach nicht ansatzweise hervor, auf welche allfälligen Män- gel im vorinstanzlichen Verfahren sich diese formelle Rüge bezieht. Die Rüge ist daher als ungenügend begründet zu erachten, zumal auch von Amtes wegen keine wesentliche Verletzung der Untersuchungspflicht fest- gestellt werden kann und der rechtserhebliche Sachverhalt spruchreif er- scheint. Die Frage, ob das Gericht die Vorbringen für glaubhaft respektive beweisen erachtet, ist demgegenüber eine materielle, die im Folgenden zu behandeln ist.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D-5178/2022 Seite 5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6.1</w:t>
      </w:r>
    </w:p>
    <w:p>
      <w:r>
        <w:t>Ihren ablehnenden Entscheid begründet die Vorinstanz im Wesentli- chen damit, dass die Vorbringen der Beschwerdeführenden weder den An- forderungen an die Flüchtlingseigenschaft noch denjenigen an die Glaub- haftigkeit standhalten würden. Die Schilderungen des Beschwerdeführers zu seiner Entführung liessen jegliche persönliche Färbung vermissen und wiesen keine Dichte an Realkennzeichen auf. Ferner sei auch nicht nach- vollziehbar, dass er keinen Anwalt damit beauftragt habe, dem angeblich durch den Ex-Ehemann eingeleiteten Verfahren gegen ihn nachzugehen. Ohnehin mangle es dem Geltendgemachten an flüchtlingsrechtlicher Re- levanz, handle es sich doch um Verfolgungsmassnahmen ohne asylrecht- lich relevante Motivation durch private Dritte und demnach nicht um eine staatliche Verfolgung. Darüber hinaus sei es den Beschwerdeführenden möglich, sich diesen lokal respektive regional beschränkten Schikanen durch einen innerstaatlichen Umzug zu entziehen. Übergriffe durch private Dritte ahnde der sri-lankische Staat ohnehin, weshalb sie sich diesbezüg- lich an die Behörden zu wenden hätten. Dass der Onkel des Ex-Eheman- nes über grossen politischen Einfluss verfüge, sei lediglich die subjektive Einschätzung der Beschwerdeführenden. Ohnehin sei die angebliche Ver- wandtschaft zwischen ihnen und dem Vorgenannten nicht belegt.</w:t>
      </w:r>
    </w:p>
    <w:p>
      <w:r>
        <w:t>D-5178/2022 Seite 6</w:t>
      </w:r>
    </w:p>
    <w:p>
      <w:r>
        <w:rPr>
          <w:b/>
        </w:rPr>
        <w:t>E. 6.2</w:t>
      </w:r>
    </w:p>
    <w:p>
      <w:r>
        <w:t>In der Beschwerdeschrift wird im Wesentlichen an der Glaubhaftigkeit der Vorbringen der Beschwerdeführenden festgehalten. So hätten sie die jahrelangen Schikanen durch den Ex-Ehemann der Beschwerdeführerin sowie die Umstände der wohl durch diesen veranlassten Entführung aus- führlich und widerspruchsfrei zu Protokoll gegeben. Zudem seien die fami- lienrechtlichen Streitigkeiten mit dem Vorgenannten gut dokumentiert und sprächen ebenfalls für die Glaubhaftigkeit der geltend gemachten «white van»-Entführung. Darüber hinaus verkenne die Vorinstanz, dass es sich vorliegend um eine Verfolgung aufgrund des Geschlechts der Beschwer- deführerin und der Religionszugehörigkeit des Beschwerdeführers handle, weshalb eine asylrelevante Verfolgung durchaus vorliege. Angesichts des- sen, dass die in den familienrechtlichen Angelegenheiten gegen ihren Ex- Ehemann ergangenen Gerichtsurteile nicht durchgesetzt worden und ihre diesbezüglichen Anzeigen bei der sri-lankischen Polizei erfolglos geblieben seien, sei denn auch erstellt, dass der sri-lankische Staat nicht schutzfähig und schutzwillig sei.</w:t>
      </w:r>
    </w:p>
    <w:p>
      <w:r>
        <w:rPr>
          <w:b/>
        </w:rPr>
        <w:t>E. 7.1</w:t>
      </w:r>
    </w:p>
    <w:p>
      <w:r>
        <w:t>Zunächst ist darauf hinzuweisen, dass das Bundesverwaltungsgericht bei der Beurteilung der Asylgründe nicht an die Begründung der Vorinstanz gebunden ist (Art. 62 Abs. 4 VwVG); es kann die Beschwerde auch aus anderen Überlegungen als jenen der Vorinstanz abweisen (sog. Motivsub- stitution; vgl. MADELEINE CAMPRUBI in: Auer/Müller/Schindler [Hrsg.], Kom- mentar zum Bundesgesetz über das Verwaltungsverfahren, 2. Aufl. 2019, N. 16 zu Art. 62 VwVG; KÖLZ/HÄNER/BERTSCHI, Verwaltungsverfahren und Verwaltungsrechtspflege des Bundes, 3. Aufl. 2013, S. 398, Rz. 1136).</w:t>
      </w:r>
    </w:p>
    <w:p>
      <w:r>
        <w:rPr>
          <w:b/>
        </w:rPr>
        <w:t>E. 7.2</w:t>
      </w:r>
    </w:p>
    <w:p>
      <w:r>
        <w:t>Die Beschwerdeführenden vermochten weder die geltend gemachten Verleumdungen und Drohungen in ihrem sozialen Umfeld respektive an ihrem Arbeitsplatz noch ihr Hauptvorbringen, die angebliche «white van»- Entführung des Beschwerdeführers durch den Ex-Ehemann der Beschwer- deführerin und ein daraus resultierendes Strafverfahren gegen ihn glaub- haft zu machen.</w:t>
      </w:r>
    </w:p>
    <w:p>
      <w:r>
        <w:rPr>
          <w:b/>
        </w:rPr>
        <w:t>E. 7.2.1</w:t>
      </w:r>
    </w:p>
    <w:p>
      <w:r>
        <w:t>Trotz mehrfacher Aufforderung, die Umstände der angeblichen Ent- führung substantiiert darzulegen, vermochten die Beschwerdeführenden diese nicht detailliert zu beschreiben (vgl. beispielsweise A28/10 F20 und A48/22 F47, F55, F57). Insbesondere die Erzählungen des Beschwerde- führers als angebliches Entführungsopfer erschöpfen sich in repetitiven Wiedergaben von allgemeinen Handlungsabläufen. Seine Detailarmut lässt vermuten, dass er das Geschilderte nicht selbst erlebte, sondern</w:t>
      </w:r>
    </w:p>
    <w:p>
      <w:r>
        <w:t>D-5178/2022 Seite 7 anhand von ihm Bekanntem konstruierte. Der diesbezügliche Erklärungs- versuch in der Beschwerdeschrift, es falle ihm schwer, über das Erlebte zu sprechen, erscheint ausweichend und vermag nicht zu überzeugen. Ohne- hin ist nicht nachvollziehbar, weshalb es überhaupt der Entführung des Be- schwerdeführers bedurft haben soll, nachdem die Beschwerdeführenden angaben, der Ex-Ehemann habe durch seinen Onkel grossen politischen Einfluss. Bei Wahrunterstellung dieses Vorbringens wäre nämlich anzu- nehmen, dass die Vorgenannten ohne weiteres ein Verfahren gegen den Beschwerdeführer hätten anhängig machen respektive Beweise fälschen können, ohne ihn vorrangig zu entführen. Angesichts dessen, dass sie mehrfach eingestanden, in der Vergangenheit – unter anderem in der Sor- gerechtsstreitigkeit zwischen der Beschwerdeführerin und ihrem Ex-Ehe- mann – (erfolgreich) gerichtlich gegen Letzteren vorgegangen zu sein und dass die Behörden die Beschwerdeführerin auch im Scheidungsverfahren unterstützt hätten (vgl. A47/18 F10 ff. und F69), erweist sich auch die pau- schale Behauptung in der Beschwerdeschrift, da «eine Anzeige nichts [brächte]» (vgl. Beschwerde S. 10), sei es verständlich, dass die Be- schwerdeführenden die (angebliche) Entführung nicht angezeigt hätten, unbehelflich. Die unbelegte Behauptung, dass gegen den Beschwerdefüh- rer ein Verfahren wegen einer angeblichen Beteiligung an den Osterbom- benanschlägen eingeleitet worden sei und seine Mutter durch das CID auf- gesucht worden sei, erscheint denn ohnehin konstruiert, zumal der Be- schwerdeführer während seiner Anhörung die Bedeutung der Abkürzung «CID» nicht einmal zu erklären vermochte (vgl. A48/22 F36 f.). Die diesbe- züglich auf Beschwerdeebene eingereichte Vorladung (vgl. Beschwerde- beilage 13) vermag daran nichts zu ändern, zumal handschriftlich erstellte Dokumente – wie das vorgenannte – kaum Fälschungssicherheit aufwei- sen. Gegen die geltend gemachte Bedrohungslage spricht ohnehin, dass die Beschwerdeführenden offenbar problemlos auf legalem Weg aus Sri Lanka ausreisten und nach ihrer Einreise in die Schweiz den Ablauf ihres Schengen-Visums abwarteten, bevor sie um Asyl nachsuchten, zumal sie letzteres ihren eigenen Angaben nach nie beabsichtigten hatten (vgl. A26/14 F72, F76 und A48/22 F28). Zwar ist angesichts der dokumen- tierten Sorgerechtsstreitigkeiten zwischen der Beschwerdeführerin und ih- rem Ex-Ehemann nicht auszuschliessen, dass es in der Vergangenheit zu Spannungen kam, doch gelingt es den Beschwerdeführenden auch auf Be- schwerdeebene nicht, die geltend gemachten Schikanen glaubhaft zu ma- chen. Wie die Beschwerdeführenden denn selbst eingestanden, vermögen sie überdies für das Geltendgemachte keinerlei Beweise vorzulegen (vgl. A47/18 F38). So geht den aus dem eingereichten «Warning Letter» keineswegs hervor, dass die Verwarnung des Beschwerdeführers durch</w:t>
      </w:r>
    </w:p>
    <w:p>
      <w:r>
        <w:t>D-5178/2022 Seite 8 seinen Arbeitgeber auf den Ex-Ehemann zurückzuführen ist (vgl. A26/14 F80). Vielmehr ist dem Schreiben, sofern von dessen Authentizität auszu- gehen ist, zu entnehmen, dass der Beschwerdeführer seinen beruflichen Pflichten nicht nachkam, weshalb sein Arbeitgeber ihn abmahnte (vgl. BM5). Darüber hinaus ist denn auch nicht logisch nachvollziehbar, wa- rum der Ex-Ehemann die Beschwerdeführenden einerseits offen bedroht und sie in ihrem sozialen Umfeld verunglimpft haben soll, um sie an ande- rer Stelle anonym zu schikanieren (vgl. A26/14 F80, A47/18 F26, F38, F49 und A48/22 F106).</w:t>
      </w:r>
    </w:p>
    <w:p>
      <w:r>
        <w:rPr>
          <w:b/>
        </w:rPr>
        <w:t>E. 7.3</w:t>
      </w:r>
    </w:p>
    <w:p>
      <w:r>
        <w:t>Aufgrund der Aktenlage ist im Weiteren nicht davon auszugehen, dass bei den Beschwerdeführenden Risikofaktoren vorliegen, welche bei einer Rückkehr nach Sri Lanka zu einer flüchtlingsrechtlich relevanten Verfol- gung führen könnten (vgl. dazu das Urteil des BVGer E-1866/2015 vom 15. Juli 2016 [als Referenzurteil publiziert]). Familiäre Verbindungen oder eigene Unterstützungshandlungen zugunsten der Liberation Tigers of Ta- mil Eelam (LTTE) machten sie zu keinem Zeitpunkt geltend. Ferner sind auch keine politischen oder exilpolitischen Aktivitäten der Beschwerdefüh- renden aktenkundig. Zudem wurden sie nie festgenommen, angeklagt oder gar verurteilt und sind insbesondere nie als Befürworter des tamilischen Separatismus in Erscheinung getreten. Ihren eigenen Angaben zufolge war es ihnen offensichtlich problemlos möglich, mit ihren gültigen Reisepässen (vgl. BM 1 und 2) den Heimatstaat legal zu verlassen. Damit bestehen keine Anhaltspunkte für die Annahme, dass sie in Sri Lanka einschlägig registriert wären oder gar auf einer Fahndungsliste der heimatlichen Be- hörden stünden und im Falle ihrer Rückkehr einer erhöhten Verfolgungs- gefahr ausgesetzt wären. Aus der Schweiz nach Sri Lanka zurückkehrende tamilische Asylsuchende sind sodann nicht per se einer reellen Gefahr aus- gesetzt, bei ihrer Rückkehr ernsthafte Nachteile im Sinne von Art. 3 AsylG zu erleiden, sondern nur dann, wenn die sri-lankischen Behörden das Ver- halten der zurückkehrenden Person mutmasslich als staatsfeindlich einstu- fen. Diese Voraussetzung ist mit Blick auf die vorstehenden Erwägungen vorliegend nicht erfüllt. Die Beschwerdeführenden vermögen schliesslich weder aus der Situation seit dem Machtwechsel im Jahr 2019 noch aus der aktuellen Lage in Sri Lanka nach der Wahl von Ranil Wickremesinghe zum neuen Staatspräsidenten im Juli 2022 eine individuelle flüchtlingsrechtlich relevante Gefährdung abzuleiten.</w:t>
      </w:r>
    </w:p>
    <w:p>
      <w:r>
        <w:rPr>
          <w:b/>
        </w:rPr>
        <w:t>E. 7.4</w:t>
      </w:r>
    </w:p>
    <w:p>
      <w:r>
        <w:t>Zusammenfassend ist festzustellen, dass es den Beschwerdeführen- den nicht gelungen ist, ihre Flüchtlingseigenschaft nachzuweisen oder zu- mindest glaubhaft zu machen. Es kann darauf verzichtet werden, auf die</w:t>
      </w:r>
    </w:p>
    <w:p>
      <w:r>
        <w:t>D-5178/2022 Seite 9 weiteren Vorbringen in der Beschwerde und die übrigen Beweismittel ein- zugehen, da sie an der Würdigung des vorliegenden Sachverhalts nichts zu ändern vermögen. Die Vorinstanz hat demnach zu Recht die Flücht- lingseigenschaft der Beschwerdeführenden verneint und ihre Asylgesuche abgelehnt.</w:t>
      </w:r>
    </w:p>
    <w:p>
      <w:r>
        <w:rPr>
          <w:b/>
        </w:rPr>
        <w:t>E. 8</w:t>
      </w:r>
    </w:p>
    <w:p>
      <w:r>
        <w:t>Gemäss Art. 44 AsylG verfügt das SEM in der Regel die Wegweisung aus der Schweiz, wenn es das Asylgesuch ablehnt oder darauf nicht eintritt. Die Beschwerdeführenden verfügen weder über eine ausländerrechtliche Auf- enthaltsbewilligung noch über einen Anspruch auf Erteilung einer solchen (vgl. BVGE 2013/37 E. 4.4; BVGE 2009/50 E. 9, je m.w.H.). Die Wegwei- sung wurde demnach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 worfen werden.</w:t>
      </w:r>
    </w:p>
    <w:p>
      <w:r>
        <w:t>D-5178/2022 Seite 10</w:t>
      </w:r>
    </w:p>
    <w:p>
      <w:r>
        <w:rPr>
          <w:b/>
        </w:rPr>
        <w:t>E. 9.2.2</w:t>
      </w:r>
    </w:p>
    <w:p>
      <w:r>
        <w:t>Das Prinzip des flüchtlingsrechtlichen Non-Refoulement schützt nur Personen, die die Flüchtlingseigenschaft erfüllen. Da es den Beschwerde- führenden nicht gelungen ist, eine asylrechtlich erhebliche Gefährdung nachzuweisen oder glaubhaft zu machen, kann der in Art. 5 AsylG veran- kerte Grundsatz der Nichtrückschiebung im vorliegenden Verfahren keine Anwendung finden. Eine Rückkehr der Beschwerdeführenden in den Hei- matstaat ist demnach unter dem Aspekt von Art. 5 AsylG rechtmässig.</w:t>
      </w:r>
    </w:p>
    <w:p>
      <w:r>
        <w:rPr>
          <w:b/>
        </w:rPr>
        <w:t>E. 9.2.3</w:t>
      </w:r>
    </w:p>
    <w:p>
      <w:r>
        <w:t>Sodann ergeben sich weder aus den Aussagen der Beschwerdefüh- renden noch aus den Akten Anhaltspunkte dafür, dass sie für den Fall einer Ausschaffung in den Heimatstaat dort mit beachtlicher Wahrscheinlichkeit einer nach Art. 3 EMRK oder Art. 1 FoK verbotenen Strafe oder Behand- lung ausgesetzt wären. Gemäss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würden (vgl. Urteil des EGMR Saadi gegen Italien 28. Februar 2008, Grosse Kammer 37201/06, §§ 124–127 m.w.H.). Der EGMR hat zudem wiederholt festgestellt, dass nicht generell davon auszugehen sei, Rückkehrern drohe in Sri Lanka eine unmenschliche Behandlung. Vielmehr müsse eine Risikoeinschätzung im Einzelfall vorgenommen werden (vgl. beispielsweise das EGMR-Urteil R.J. gegen Frankreich vom 19. September 2013, Nr. 10466/11, Ziff. 37). Die Einzelfallprüfung fällt mangels hinreichender Anhaltspunkte vorliegend ne- gativ aus (vgl. vorstehend E. 7). Die vom EGMR genannten Faktoren sind im Wesentlichen durch die im Referenzurteil des Bundesverwaltungs- gerichts E-1866/2015 vom 15. Juli 2016 in den Erwägungen 8.4 und 8.5 identifizierten Risikofaktoren abgedeckt. Vorliegend wurde bereits festge- stellt, dass aufgrund der Aktenlage nicht davon auszugehen ist, dass die Beschwerdeführenden bei einer Rückkehr aus der Schweiz nach Sri Lanka die Aufmerksamkeit der sri-lankischen Behörden in einem flüchtlingsrecht- lich relevanten Ausmass auf sich ziehen. Demnach bestehen auch keine Anhaltspunkte dafür, dass ihnen aus denselben Gründen eine menschen- rechtswidrige Behandlung im Heimatland drohen würde. Die allgemeine Menschenrechtssituation in Sri Lanka lässt den Wegweisungsvollzug im heutigen Zeitpunkt ebenfalls nicht als unzulässig erscheinen. Dies gilt auch unter Berücksichtigung der jüngsten politischen Entwicklungen in Sri Lanka.</w:t>
      </w:r>
    </w:p>
    <w:p>
      <w:r>
        <w:t>D-5178/2022 Seite 11</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Sri Lanka herrscht weder Krieg, Bürgerkrieg noch eine Situation allgemeiner Gewalt. Der bewaffnete Konflikt zwischen der sri-lankischen Regierung und den LTTE ist im Mai 2009 zu Ende gegangen. In den beiden Referenzurteilen E-1866/2015 vom 15. Juli 2016 und D-3619/2016 vom 16. Oktober 2017 hat das Bundesverwaltungsgericht eine aktuelle Ein- schätzung der Lage in Sri Lanka vorgenommen. Dabei stellte es fest, dass der Wegweisungsvollzug sowohl in die Nordprovinz als auch in die Ostpro- vinz unter Einschluss des sogenannten Vanni-Gebiets zumutbar ist, wenn das Vorliegen von individuellen Zumutbarkeitskriterien bejaht werden kann. Zu den individuellen Zumutbarkeitskriterien gehören insbesondere das Vorhandensein eines tragfähigen familiären oder sozialen Bezie- hungsnetzes sowie Aussichten auf eine gesicherte Einkommens- und Wohnsituation (vgl. Urteil des BVGer D-3257/2022 vom 16. November 2022 E. 8.4.3 m.H.a. Referenzurteil des BVGer E-1866/2015 E. 13.2 ff. und Urteil des BVGer D‑3619/2016 vom 16. Oktober 2017 E. 9.5). Nach Prüfung der Akten kommt das Gericht zum Schluss, dass die Vor- instanz zu Recht das Bestehen individueller Wegweisungsvollzugshinder- nisse verneint hat. Die jungen Beschwerdeführenden weisen eine über- durchschnittlich gute Ausbildung und jahrelange Berufserfahrung auf (vgl. A26/14 F8), weshalb zu erwarten ist, dass sie sich im Heimatstaat wirtschaftlich schnell wieder zu integrieren vermögen. Zudem leben weiter- hin zahlreiche Verwandte der Beschwerdeführenden im Heimatstaat, die sie bereits vor ihrer Ausreise teilweise unterstützten und zu welchen sie (mehrheitlich) weiterhin den Kontakt pflegen (vgl. A26/14 F59, F63; A28/10 F41 und A47/18 F55 f). Sollten die Beschwerdeführenden wider Erwarten auf Unterstützung angewiesen sein, ist demnach davon auszugehen, dass sie auf ihr umfangreiches Beziehungsnetz zurückgreifen können. Auch das Kindeswohl ihres nur wenige Monate alten gemeinsamen Kindes steht ei- nem Wegweisungsvollzug offensichtlich nicht entgegen, zumal es gemein- sam mit seinen ebenfalls weggewiesenen Eltern – seinen wichtigsten Be- zugspersonen – nach Sri Lanka zurückkehren kann. Gleiches gilt für die beim Beschwerdeführer diagnostizierte arterielle Hypertonie und das</w:t>
      </w:r>
    </w:p>
    <w:p>
      <w:r>
        <w:t>D-5178/2022 Seite 12 Asthma der Beschwerdeführerin (vgl. A20/2 und A22/2), da es sich dabei nicht um schwere Erkrankungen handelt und allenfalls notwendige Medi- kamente in Sri Lanka erhältlich gemacht werden können. Nach dem Ge- sagten erweist sich der Vollzug der Wegweisung sowohl in genereller als auch in individueller Hinsicht als zumutbar.</w:t>
      </w:r>
    </w:p>
    <w:p>
      <w:r>
        <w:rPr>
          <w:b/>
        </w:rPr>
        <w:t>E. 9.4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w:t>
      </w:r>
    </w:p>
    <w:p>
      <w:r>
        <w:rPr>
          <w:b/>
        </w:rPr>
        <w:t>E. 11</w:t>
      </w:r>
    </w:p>
    <w:p>
      <w:r>
        <w:t>Bei diesem Ausgang des Verfahrens sind die Kosten den Beschwerde- führenden aufzuerlegen (Art. 63 Abs. 1 VwVG) und auf insgesamt Fr. 750.– festzusetzen (Art. 1–3 des Reglements vom 21. Februar 2008 über die Kosten und Entschädigungen vor dem Bundesverwaltungsgericht [VGKE, SR 173.320.2]). Sie sind durch den in gleicher Höhe geleisteten Kostenvorschuss gedeckt.</w:t>
      </w:r>
    </w:p>
    <w:p>
      <w:r>
        <w:t>(Dispositiv nächste Seite)</w:t>
      </w:r>
    </w:p>
    <w:p>
      <w:r>
        <w:t>D-5178/2022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