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D-5175/2016 vom 21. Februar 2017</w:t>
      </w:r>
    </w:p>
    <w:p>
      <w:r>
        <w:t>Bundesverwaltungsgericht, 2017-02-21, DE</w:t>
      </w:r>
    </w:p>
    <w:p>
      <w:r>
        <w:rPr>
          <w:b/>
        </w:rPr>
        <w:t xml:space="preserve">Quelle: </w:t>
      </w:r>
      <w:r>
        <w:t>https://mcp.opencaselaw.ch/entscheid/bvger_D-5175_2016</w:t>
      </w:r>
    </w:p>
    <w:p>
      <w:r>
        <w:t>FR: TAF D-5175/2016 du 21 février 2017</w:t>
      </w:r>
    </w:p>
    <w:p>
      <w:r>
        <w:t>IT: TAF D-5175/2016 del 21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Prozessgegenstand im vorliegenden Verfahren ist entsprechend der gestellten Beschwerdeanträge auf die Frage beschränkt, ob der Beschwerdeführer aufgrund seiner illegalen Ausreise infolge subjektiver Nachfluchtgründe im Sinne von Art. 54 AsylG die Flüchtlingseigenschaft erfüllt. Demgegenüber ist die Abweisung des Asylgesuchs unangefochten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w:t>
      </w:r>
    </w:p>
    <w:p>
      <w:r>
        <w:t>Der Beschwerdeführer macht geltend, dass die Vorinstanz in ihrer Verfügung die geltenden COI-Standards nicht respektiert habe und die Verfügung auf einer dünnen Quellenlage basiere. Soweit damit implizit die Verletzung der Begründungspflicht geltend gemacht wird, kann eine solche nicht festgestellt werden. Die Vorinstanz hat die wesentlichen Überlegungen und die Quellen genannt, die sie ihrem Entscheid zugrunde legt. Der Entscheid konnte denn auch sachgerecht vom Beschwerdeführer angefochten werden. Soweit mit dem Beschwerdevorbringen implizit die Richtigkeit der materiellen Würdigung in Frage gestellt wird, betrifft dies nicht eine allfällige Verletzung der Begründungspflicht, sondern vielmehr die materielle Auseinandersetzung mit der Frage, ob die Vorinstanz im vorliegenden Fall zutreffend das Vorliegen subjektiver Nachfluchtgründe verneint hat.</w:t>
      </w:r>
    </w:p>
    <w:p>
      <w:r>
        <w:rPr>
          <w:b/>
        </w:rPr>
        <w:t>E. 6.1</w:t>
      </w:r>
    </w:p>
    <w:p>
      <w:r>
        <w:t>Zur bisherigen Praxis des Bundesverwaltungsgerichts in Bezug auf Eritrea, namentlich auch die Praxis betreffend die illegale Ausreise aus diesem Land betreffend, wird auf das vom Richterplenum der Asylabteilungen koordinierte Urteil des Bundesveraltungsgerichts D-7898/2015 vom 30. Januar 2017 E. 4.1 ff. verwiesen (zur Publikation als Referenzurteil vorgesehen).</w:t>
      </w:r>
    </w:p>
    <w:p>
      <w:r>
        <w:rPr>
          <w:b/>
        </w:rPr>
        <w:t>E. 6.2</w:t>
      </w:r>
    </w:p>
    <w:p>
      <w:r>
        <w:t>Im besagten Urteil wurde unter Bezugnahme auf die konsultierten Quellen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6.3</w:t>
      </w:r>
    </w:p>
    <w:p>
      <w:r>
        <w:t>In Anbetracht der geänderten Rechtsprechung kann die Frage der Glaubhaftigkeit der illegalen Ausreise des Beschwerdeführers vorliegend offen gelassen werden, da in seinem Fall zusätzliche Faktoren, welche das Profil des Beschwerdeführers schärfen könnten, gestützt auf die konkreten Sachumstände zu verneinen sind. Der Beschwerdeführer hatte eigenen Angaben gemäss vor seiner Ausreise, welche im Alter von etwa 13 Jahren erfolgt sein soll, offensichtlich keinerlei Behördenkontakt im Hinblick auf einen allfälligen Einzug in den eritreischen Nationaldienst. Er kann mithin nicht als Deserteur oder Refraktär gelten. Andere Anknüpfungspunkte, welche ihn in den Augen des eritreischen Regimes als missliebige Person erscheinen lassen könnten, sind ebenfalls nicht ersichtlich. So brachte der Beschwerdeführer einzig vor, sein Vater habe zwei bis drei Monate vor der im April 2013 erfolgten Ausreise einen Urlaub vom Militärdienst unerlaubterweise verlängert, um die Felder der Familie zu bestellen. Daraufhin seien Militärangehörige nach Hause gekommen und hätten an Stelle des Vaters die Mutter ins Militärcamp verbracht. Diese sei jedoch unmittelbar wieder auf freien Fuss gesetzt worden, nachdem der Vater in das Militärcamp eingerückt sei. Dieses Vorbringen vermag auch bei unterstellter Glaubhaftigkeit keine Schärfung des Profils des Beschwerdeführers zu begründen, aufgrund welcher er in den Fokus der Militärbehörden geraten sein könnte. Der Beschwerdeführer bringt denn auch nicht vor, dass seine Familie oder er im Nachgang zu diesem Ereignis weitere Probleme mit eritreischen Behörden gehabt habe.</w:t>
      </w:r>
    </w:p>
    <w:p>
      <w:r>
        <w:rPr>
          <w:b/>
        </w:rPr>
        <w:t>E. 6.4</w:t>
      </w:r>
    </w:p>
    <w:p>
      <w:r>
        <w:t>Die Vorbringen in der Beschwerde sind nicht geeignet, zu einer anderen Einschätzung zu führen. Dies betrifft insbesondere auch die Ausführungen in der Replik mit Bezugnahme auf Asylverfahren anderer eritreischer Staatsangehöriger.</w:t>
      </w:r>
    </w:p>
    <w:p>
      <w:r>
        <w:rPr>
          <w:b/>
        </w:rPr>
        <w:t>E. 6.5</w:t>
      </w:r>
    </w:p>
    <w:p>
      <w:r>
        <w:t>Somit bleibt festzuhalten, dass allein die illegale Ausreise vorliegend keine Furcht des Beschwerdeführers vor einer zukünftigen flüchtlingsrechtlich relevanten Verfolgung zu begründen vermag, da in seiner Person keine zusätzlichen Faktoren für ein Risikoprofil zu erkennen sind.</w:t>
      </w:r>
    </w:p>
    <w:p>
      <w:r>
        <w:rPr>
          <w:b/>
        </w:rPr>
        <w:t>E. 6.6</w:t>
      </w:r>
    </w:p>
    <w:p>
      <w:r>
        <w:t>Ebenfalls nicht flüchtlingsrechtlich relevant ist die hypothetische Möglichkeit eines Einzugs des Beschwerdeführers in den Nationaldienst nach einer allfälligen Rückkehr, da es sich dabei ebenfalls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bzw. Zumutbarkeit des Wegweisungsvollzugs. Da der Beschwerdeführer mit der angefochtenen Verfügung in der Schweiz vorläufig aufgenommen wurde, ist diese Frage nicht Gegenstand des vorliegenden Verfahrens.</w:t>
      </w:r>
    </w:p>
    <w:p>
      <w:r>
        <w:rPr>
          <w:b/>
        </w:rPr>
        <w:t>E. 6.7</w:t>
      </w:r>
    </w:p>
    <w:p>
      <w:r>
        <w:t>Die Vorinstanz hat mithin zutreffend die Flüchtlingseigenschaft des Beschwerdeführers verneint.</w:t>
      </w:r>
    </w:p>
    <w:p>
      <w:r>
        <w:rPr>
          <w:b/>
        </w:rPr>
        <w:t>E. 7.1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7.2</w:t>
      </w:r>
    </w:p>
    <w:p>
      <w:r>
        <w:t>Die von der Vorinstanz wegen Unzumutbarkeit des Vollzugs verfügte vorläufige Aufnahme bleibt unberührt.</w:t>
      </w:r>
    </w:p>
    <w:p>
      <w:r>
        <w:rPr>
          <w:b/>
        </w:rPr>
        <w:t>E. 8</w:t>
      </w:r>
    </w:p>
    <w:p>
      <w:r>
        <w:t>Bei diesem Ausgang des Verfahrens wären die Verfahrenskosten dem Beschwerdeführer aufzuerlegen (Art. 63 Abs. 1 VwVG). Nachdem das Gesuch um unentgeltliche Rechtspflege im Sinne von Art. 65 Abs. 1 VwVG mit Verfügung vom 8. September 2016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