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D-5172/2022 vom 21. November 2022</w:t>
      </w:r>
    </w:p>
    <w:p>
      <w:r>
        <w:t>Bundesverwaltungsgericht, 2022-11-21, FR</w:t>
      </w:r>
    </w:p>
    <w:p>
      <w:r>
        <w:rPr>
          <w:b/>
        </w:rPr>
        <w:t xml:space="preserve">Quelle: </w:t>
      </w:r>
      <w:r>
        <w:t>https://mcp.opencaselaw.ch/entscheid/bvger_D-5172_2022</w:t>
      </w:r>
    </w:p>
    <w:p>
      <w:r>
        <w:t>FR: TAF D-5172/2022 du 21 novembre 2022</w:t>
      </w:r>
    </w:p>
    <w:p>
      <w:r>
        <w:t>IT: TAF D-5172/2022 del 21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implicitement par la recourante,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w:t>
      </w:r>
    </w:p>
    <w:p>
      <w:r>
        <w:t>La recourante a fait préliminairement valoir que le SEM n'aurait pas instruit suffisamment la question de son état de santé et qu'elle n'aurait pu exposer que très brièvement les détails de son séjour en Croatie.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2.1.3</w:t>
      </w:r>
    </w:p>
    <w:p>
      <w:r>
        <w:t>En l'espèce, la recourante a été entendue par le SEM sur ses problèmes médicaux lors de son entretien « Dublin » du 30 septembre 2022. Elle a déclaré à cette occasion qu'elle avait [des problèmes médicaux]. En outre, elle a ajouté qu'elle avait reçu à l'infirmerie des médicaments analgésiques contre les douleurs au ventre. Sur le plan psychique, elle a souligné qu'elle pleurait beaucoup quand elle pensait à la séparation d'avec sa famille. Enfin, elle a allégué que la situation était difficile à l'infirmerie en raison de la présence de nombreuses personnes. A cette occasion, le SEM lui a rappelé qu'il lui revenait de faire valoir toute atteinte à sa santé qui pourrait s'avérer déterminante dans le cadre de la procédure et qu'à cette fin, elle devait consulter l'infirmerie du centre fédéral. En l'occurrence, le SEM a repris l'intégralité de ses éléments dans sa décision et a retenu que les affections présentées par la recourante n'étaient pas suffisamment graves ou spécifiques pour s'opposer à un retour en Croatie, où elle aurait accès aux soins médicaux. Il a également laissé s'écouler presque deux mois depuis l'arrivée en Suisse de l'intéressée jusqu'à sa décision du 4 novembre 2022, sans qu'aucun document médical ne lui soit parvenu. Il pouvait dès lors considérer qu'il était en possession de tous les éléments pour pouvoir prendre sa décision et ainsi clore l'instruction de la présente procédure. Dans ces conditions, on ne saurait reprocher au SEM de ne pas avoir investigué plus avant l'état de santé, notamment psychique, de la recourante. Le SEM n'a par conséquent pas violé son devoir d'instruction d'office à ce sujet.</w:t>
      </w:r>
    </w:p>
    <w:p>
      <w:r>
        <w:rPr>
          <w:b/>
        </w:rPr>
        <w:t>E. 2.1.4</w:t>
      </w:r>
    </w:p>
    <w:p>
      <w:r>
        <w:t>Par ailleurs, il est constaté que l'intéressée a eu tout loisir de s'exprimer sur son séjour en Croatie et sur les violences qu'elle y aurait subies, ce qu'elle a d'ailleurs fait lors de l'entretien « Dublin » du 30 septembre 2022. Tout défaut d'instruction sur ce point peut donc être écarté.</w:t>
      </w:r>
    </w:p>
    <w:p>
      <w:r>
        <w:rPr>
          <w:b/>
        </w:rPr>
        <w:t>E. 2.1.5</w:t>
      </w:r>
    </w:p>
    <w:p>
      <w:r>
        <w:t>Pour le surplus, la question de la situation en Croatie relève du fond et sera examinée dans les considérants ci-après.</w:t>
      </w:r>
    </w:p>
    <w:p>
      <w:r>
        <w:rPr>
          <w:b/>
        </w:rPr>
        <w:t>E. 2.2</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RD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5.1</w:t>
      </w:r>
    </w:p>
    <w:p>
      <w:r>
        <w:t>En l'occurrence, comme déjà relevé, les investigations entreprises par le SEM ont révélé, après consultation de l'unité centrale du système européen « Eurodac », que la recourante avait déposé une demande d'asile en Croatie, le 1er septembre 2022.</w:t>
      </w:r>
    </w:p>
    <w:p>
      <w:r>
        <w:rPr>
          <w:b/>
        </w:rPr>
        <w:t>E. 5.2</w:t>
      </w:r>
    </w:p>
    <w:p>
      <w:r>
        <w:t>En date du 30 septembre 2022, le SEM a dès lors soumis aux autorités croates compétentes, dans les délais fixés à l'art. 23 par. 2 RD III, une requête aux fins de reprise en charge, fondée sur l'art. 18 par. 1 let. b RD III.</w:t>
      </w:r>
    </w:p>
    <w:p>
      <w:r>
        <w:rPr>
          <w:b/>
        </w:rPr>
        <w:t>E. 5.3</w:t>
      </w:r>
    </w:p>
    <w:p>
      <w:r>
        <w:t>Les autorités croates ont expressément accepté cette requête en date du 14 octobre 2022, sur la base de l'art. 20 par. 5 RD III et ont exposé que l'intéressée avait manifesté son intention de demander l'asile en Croatie le 1er septembre 2022, mais avait disparu avant son audition.</w:t>
      </w:r>
    </w:p>
    <w:p>
      <w:r>
        <w:rPr>
          <w:b/>
        </w:rPr>
        <w:t>E. 5.3.1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l'espèce, le dépôt d'une demande de protection internationale en Croatie par l'intéressée est confirmé par les données enregistrées dans le système « Eurodac ». Elle aurait quitté la Croatie le même jour (cf. l'entretien « Dublin », p. 1), soit avant l'achèvement du processus de détermination de l'Etat membre responsable, vu l'intention de poursuivre celui-ci manifestée par les autorités croates dans leur réponse du 14 octobre 2022. Dans ces conditions, et dans la mesure où l'intéressée n'a pas quitté le territoire des Etats membres ni n'a obtenu de titre de séjour de la part d'un Etat membre dans l'intervalle, il se justifie de faire application de l'art. 20 par. 5 RD III, conformément à la jurisprudence précitée (cf. supra, consid. 5.3.2).</w:t>
      </w:r>
    </w:p>
    <w:p>
      <w:r>
        <w:rPr>
          <w:b/>
        </w:rPr>
        <w:t>E. 5.4</w:t>
      </w:r>
    </w:p>
    <w:p>
      <w:r>
        <w:t>La Croatie a du reste reconnu sa compétence pour achever le processus de détermination de l'Etat membre responsable de l'examen de la demande d'asile déposée par l'intéressée, point qui n'est pas contesté.</w:t>
      </w:r>
    </w:p>
    <w:p>
      <w:r>
        <w:rPr>
          <w:b/>
        </w:rPr>
        <w:t>E. 6.1</w:t>
      </w:r>
    </w:p>
    <w:p>
      <w:r>
        <w:t>En vertu de l'art. 3 par. 2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(RS 0.101)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Le Tribunal considère que,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et jurisp. cit. ; E-1854/2022 du 1er septembre 2022 consid. 6.4 et jurisp. cit. ; D-3316/2022 du 29 août 2022 ; E-3554/2022 du 25 août 2022 consid. 6.2 et jurisp. cit). La recourante ne peut tirer argument du rapport de l'OSAR du 13 septembre 2022 intitulé « Violences policières en Bulgarie et en Croatie : conséquences pour les transferts Dublin » (cf. mémoire de recours, p. 3), dans la mesure notamment où elle a pu déposer une demande de protection en Croatie et que cet Etat a expressément accepté de la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6.5</w:t>
      </w:r>
    </w:p>
    <w:p>
      <w:r>
        <w:t>Par conséquent, l'application de l'art. 3 par. 2 RD III ne se justifie pas en l'espèce.</w:t>
      </w:r>
    </w:p>
    <w:p>
      <w:r>
        <w:rPr>
          <w:b/>
        </w:rPr>
        <w:t>E. 7.1</w:t>
      </w:r>
    </w:p>
    <w:p>
      <w:r>
        <w:t>L'intéressée s'est opposée à son transfert en Croatie, en soutenant qu'elle avait été confrontée à de mauvais traitements dans ce pays, qui ne respecterait pas les droits humains. Elle a ainsi expliqué que lors de son passage à la frontière entre la Bosnie et la Croatie, une bagarre avait éclaté, au cours de laquelle elle aurait perdu de vue son mari et ses enfants, dont elle ignore le lieu de séjour actuel. Elle aurait ensuite été arrêtée par des policiers et conduite, après une marche d'une heure, dans un endroit où se trouvaient déjà d'autres personnes. Elle aurait dû rester assise dans la boue, aurait reçu des coups au ventre et sur le nez, aurait été giflée et ses lunettes auraient été brisées. Puis, elle aurait dû monter à bord d'une camionnette avec d'autres personnes. Après une heure de voyage, elle aurait été emmenée dans une cellule, où elle n'aurait reçu que de l'eau et du pain sec. Ses empreintes digitales auraient en outre été prises de force.</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7.3</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En outre, l'intéressée n'a fourni aucun élément susceptible de démontrer que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7.4</w:t>
      </w:r>
    </w:p>
    <w:p>
      <w:r>
        <w:t>La recourante, qui n'est restée qu'un jour en Croatie, n'a pas non plus apporté d'indices suffisants qu'elle serait privée durablement, dans cet Etat,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CCT (cf. arrêt du Tribunal F-1125/2021 du 19 mars 2021 consid. 4.5). Le rapport cité à l'appui du recours ne saurait suffire à cet égard. Les mauvais traitements que l'intéressée aurait subis en Croatie ne sont pas étayés.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Tribunal F-1543/2018 du 19 mars 2018 consid. 6.2).</w:t>
      </w:r>
    </w:p>
    <w:p>
      <w:r>
        <w:rPr>
          <w:b/>
        </w:rPr>
        <w:t>E. 7.5.1</w:t>
      </w:r>
    </w:p>
    <w:p>
      <w:r>
        <w:t>Compte tenu de la jurisprudence restrictive en la matière, il y a lieu de considérer que les problèmes de santé évoqués par la recourante (cf. supra, consid. 2.1.3) ne sont pas d'une gravité telle qu'il se justifierait de renoncer à son transfert vers la Croatie (cf. arrêt Paposhvili c. Belgique précité). En outre, elle n'a pas mentionné d'autres problèmes médicaux au stade du recours, ni produit des documents médicaux y relatifs. Force est ainsi de constater que les problèmes allégués ne sont pas révélateurs de maladies d'une gravité ou d'une spécificité telle qu'elles ne pourraient pas être traitées en Croatie (sur les possibilités de prise en charge médicale dans le domaine de l'asile en Croatie, cf. arrêts du Tribunal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Dès lors, il y a lieu de retenir que l'état de santé de la recourante ne saurait faire obstacle à l'exécution de son transfert vers la Croatie.</w:t>
      </w:r>
    </w:p>
    <w:p>
      <w:r>
        <w:rPr>
          <w:b/>
        </w:rPr>
        <w:t>E. 7.5.3</w:t>
      </w:r>
    </w:p>
    <w:p>
      <w:r>
        <w:t>Cela étant, le cas échéant, il incombera aux autorités suisses chargées de l'exécution du transfert de transmettre à leurs homologues croates, en temps utile, les renseignements permettant une prise en charge médicale adéquate de la recourante (art. 31 et 32 RD III).</w:t>
      </w:r>
    </w:p>
    <w:p>
      <w:r>
        <w:rPr>
          <w:b/>
        </w:rPr>
        <w:t>E. 7.6</w:t>
      </w:r>
    </w:p>
    <w:p>
      <w:r>
        <w:t>S'agissant de la présence en Suisse [d'un membre de sa famille] et de la famille de celui-ci, l'intéressée n'a pas démontré se trouver dans un rapport de dépendance particulier avec ces derniers au sens de l'art. 8 CEDH. Cet élément a été examiné par le SEM dans la décision intimée (cf. p. 5 et 6), à laquelle il peut être renvoyé, dans la mesure où il n'a pas été valablement contesté au stade du recours.</w:t>
      </w:r>
    </w:p>
    <w:p>
      <w:r>
        <w:rPr>
          <w:b/>
        </w:rPr>
        <w:t>E. 7.7</w:t>
      </w:r>
    </w:p>
    <w:p>
      <w:r>
        <w:t>Par conséquent, le transfert de l'intéressée vers la Croatie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l'intéressée,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(art. 111a al. 1 LAsi).</w:t>
      </w:r>
    </w:p>
    <w:p>
      <w:r>
        <w:rPr>
          <w:b/>
        </w:rPr>
        <w:t>E. 10.1</w:t>
      </w:r>
    </w:p>
    <w:p>
      <w:r>
        <w:t>Dans la mesure où il est immédiatement statué sur le fond, les demandes tendant à l'octroi de l'effet suspensif et à la dispense du versement d'une avance de frais sont sans objet, les mesures superprovisionnelles ordonnées le 15 novembre 2022 étant désormais caduques. Les conclusions du recours étant d'emblée vouées à l'échec, la requête d'assistance judiciaire totale est rejetée.</w:t>
      </w:r>
    </w:p>
    <w:p>
      <w:r>
        <w:rPr>
          <w:b/>
        </w:rPr>
        <w:t>E. 10.2</w:t>
      </w:r>
    </w:p>
    <w:p>
      <w:r>
        <w:t>Vu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