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D-5172/2006 vom 9. Juni 2009</w:t>
      </w:r>
    </w:p>
    <w:p>
      <w:r>
        <w:t>Bundesverwaltungsgericht, 2009-06-09, DE</w:t>
      </w:r>
    </w:p>
    <w:p>
      <w:r>
        <w:rPr>
          <w:b/>
        </w:rPr>
        <w:t xml:space="preserve">Quelle: </w:t>
      </w:r>
      <w:r>
        <w:t>https://mcp.opencaselaw.ch/entscheid/bvger_D-5172_2006</w:t>
      </w:r>
    </w:p>
    <w:p>
      <w:r>
        <w:t>FR: TAF D-5172/2006 du 9 juin 2009</w:t>
      </w:r>
    </w:p>
    <w:p>
      <w:r>
        <w:t>IT: TAF D-5172/2006 del 9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des ablehnenden Asylentscheides im Wesentlichen fest, im Zuge des demokratischen Wandels habe sich die Situation der ethnischen Minderheiten in Serbien entspannt. So sei am 26. (recte: 25.) Februar 2002 das Bundesgesetz zum Schutz und zur Freiheit der nationalen Minoritäten in Kraft getreten. Es handle sich dabei um einen gesetzlichen Rahmen, der die Rechte der nationalen Minderheiten und der Angehörigen von ethnischen Minderheiten schütze. Auch die Roma seien als nationale Minderheit anerkannt worden. Vor diesem Hintergrund deute nichts darauf hin, dass der Beschwerdeführerin der nötige Schutz verweigert würde. Man könne überdies nicht erwarten, dass der Staat jederzeit und in allen Bereichen präventiv einschreite. Dazu komme, dass die von der Beschwerdeführerin geschilderten Vorfälle sich auf einen lokal beschränkten Bereich bezögen. Angesichts der mit ihrer Staatsangehörigkeit verbundenen Niederlassungsfreiheit sei es der Beschwerdeführerin möglich, sich in einer anderen Region Serbiens und Montenegros (Montenegro ist seit dem 3. Juni 2006 ein unabhängiger Staat [Anm. des Gerichts]) anzusiedeln. Entsprechend habe die Beschwerdeführerin selber ausgeführt, während ihres Aufenthaltes in D._______ sei sie unbehelligt geblieben. Im Weiteren stellten die von der Beschwerdeführerin geschilderten Behelligungen aufgrund ihrer ethnischen Zugehörigkeit keine Verfolgungsmotive im Sinne von Art. 3 AsylG dar. Vereinzelte Übergriffe durch Drittpersonen auf Roma und lokale behördliche Schikanen sowie Diskriminierungen könnten zwar nicht ausgeschlossen werden, allerdings erreichten solche Benachteiligungen in der Regel keine asylrelevante Intensität. Die Vorbringen der Beschwerdeführerin vermöchten keine Asylrelevanz zu begründen, so dass die Frage der Glaubhaftigkeit ihrer Vorbringen offengelassen werden könne.</w:t>
      </w:r>
    </w:p>
    <w:p>
      <w:r>
        <w:rPr>
          <w:b/>
        </w:rPr>
        <w:t>E. 5.2</w:t>
      </w:r>
    </w:p>
    <w:p>
      <w:r>
        <w:t>Demgegenüber liess die Beschwerdeführerin auf Beschwerdeebene zusammengefasst vorbringen, aufgrund des von ihr dargelegten Sachverhaltes sei ihre Flüchtlingseigenschaft als überwiegend wahrscheinlich belegt worden. Die vorinstanzliche Auffassung, es lägen keine asylrelevanten Gründe vor, sei nicht nachvollziehbar. Die Beschwerdeführerin fühle sich von der Polizei im Stich gelassen und habe keinen anderen Ausweg als die Flucht gesehen. Zudem gebe es immer mehr rassistische Ausfälle gegenüber den Roma.</w:t>
      </w:r>
    </w:p>
    <w:p>
      <w:r>
        <w:rPr>
          <w:b/>
        </w:rPr>
        <w:t>E. 5.3</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(Entscheidungen und Mitteilungen der Schweizerischen Asylrekurskommission [EMARK] 2005 Nr. 21 E. 7 S. 193). Nach neuerer Rechtsprechung (Wechsel von der Zurechenbarkeits- zur Schutztheorie) kann eine Verfolgungshandlung im Sinne von Art. 3 AsylG von staatlichen oder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202f.; EMARK 2006 Nr. 32 E. 6.1 S. 340 f.) Die Anerkennung der Flüchtlingseigenschaft setzt ferner voraus, dass die betroffene Person einer landesweiten Verfolgung ausgesetzt ist und nicht in einem anderen Teil ihres Heimatstaates um effektiven Schutz nachsuchen kann (EMARK 2006 Nr. 18).</w:t>
      </w:r>
    </w:p>
    <w:p>
      <w:r>
        <w:rPr>
          <w:b/>
        </w:rPr>
        <w:t>E. 5.4</w:t>
      </w:r>
    </w:p>
    <w:p>
      <w:r>
        <w:t>Zunächst ist darauf hinzuweisen, dass das BFM die Frage der Glaubhaftigkeit der von der Beschwerdeführerin vorgetragenen Asylgründe ausdrücklich offengelassen hat. Die Behauptung in der Beschwerdeschrift, dass BFF (recte: BFM) habe das Asylgesuch "wegen angeblich fehlenden Anforderungen an die Glaubwürdigkeit" abgelehnt, trifft somit nicht zu. Das Bundesverwaltungsgericht schliesst sich der Auffassung der Vorinstanz an, wonach die Vorbringen der Beschwerdeführerin den Anforderungen an die Flüchtlingseigenschaft gemäss Art. 3 AsylG mit Blick auf die derzeitige Situation der Roma in Serbien (vgl. dazu Urteil des Bundesverwaltungsgerichts D-7710/2006 vom 20. Februar 2009 E. 7.2 f.) nicht standzuhalten vermögen. Zwar können vereinzelte Übergriffe von Seiten Dritter auf Angehörige der Roma in Serbien nicht restlos ausgeschlossen werden, doch geht das Bundesverwaltungsgericht mit dem Bundesamt davon aus, der Staat billige oder unterstütze solche Behelligungen in keiner Weise und erweise sich als schutzwillig und schutzfähig. Die Beschwerdeführerin wirft den Behörden denn auch nicht vor, völlig untätig geblieben zu sein. Vielmehr sei die Polizei nach erfolgter Anzeige bei ihnen vorbeigekommen, habe jedoch gesagt, man könne ihre Sicherheit nicht garantieren (vgl. B2/6 S. 3). Nicht klar wird im Weiteren, welche Massnahmen die Polizei angesichts der vagen Angaben der Beschwerdeführerin (vgl. B2/6 S. 4) hätte ergreifen sollen. Denkbar ist zwar, dass Behörden niederer Chargen trotz wiederholtem Intervenieren auf Anzeigen hin die notwendigen Untersuchungsmassnahmen nicht einleiten. Es ist jedoch davon auszugehen, dass grundsätzlich die Möglichkeit besteht, gegen fehlbare Beamte auf dem Rechtsweg vorzugehen und die zustehenden Rechte bei höheren Instanzen einzufordern. Hinzu kommt schliesslich, dass die Beschwerdeführerin selber angab, anlässlich ihrer Aufenthalte bei der Mutter ihrer Schwiegertochter in D._______ unbehelligt geblieben zu sein (vgl. B2/6 S. 3). Zusammenfassend ergibt sich, dass die Vorbringen der Beschwerdeführerin als nicht asylrechtlich relevant zu betrachten sind und die Vorinstanz im Ergebnis zu Recht die Flüchtlingseigenschaft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Serbien ist demnach unter dem Aspekt von Art. 5 AsylG rechtmässig. Sodann ergeben sich weder aus den Aussagen der Beschwerdeführerin noch aus den Akten Anhaltspunkte dafür, dass sie für den Fall einer Ausschaffung nach Serbien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Angesichts der heutigen Lage in Serbien muss gemäss konstanter Praxis nicht von einer Situation allgemeiner Gewalt oder kriegerischen respektive bürgerkriegsähnlichen Verhältnissen gesprochen werden. Zwar können - wie bereits vorstehend erwähnt - Übergriffe von Privatpersonen auf Angehörige der Roma und teilweise behördliche Schikanen sowie Diskriminierungen nicht völlig ausgeschlossen werden. Indessen erreichen diese im Allgemeinen nicht ein Ausmass, das den Vollzug der Wegweisung in jedem Fall als unzumutbar erscheinen liesse. Zudem ist die Vojvodina, wo die Beschwerdeführerin herkommt, als eine von vielen Volksgruppen bewohnte Region bekannt, in welcher das Zusammenleben im Allgemeinen als friedlich bezeichnet werden kann. Somit ist die Rückkehr der Beschwerdeführerin dorthin grundsätzlich zumutbar. Eine Situation, welche die Beschwerdeführerin als de-facto-Flüchtling qualifizieren würde, lässt sich deshalb aufgrund der heutigen Situation in Serbien nicht bejahen.</w:t>
      </w:r>
    </w:p>
    <w:p>
      <w:r>
        <w:rPr>
          <w:b/>
        </w:rPr>
        <w:t>E. 7.4.2</w:t>
      </w:r>
    </w:p>
    <w:p>
      <w:r>
        <w:t>Vorliegend sind in Anbetracht der persönlichen Situation der Beschwerdeführerin keine Gründe ersichtlich, die auf eine konkrete Gefährdung beziehungsweise auf ein beachtliches Rückkehrrisiko hindeuten. Nach dem Gesagten erweist sich der Vollzug der Wegweisung auch als zumutbar. Die Beschwerdeführerin kehrte nach eigenen Angaben im Alter von (...) Jahren, als sie heiratete, nach ungefähr zweijährigem Aufenthalt in E._______ nach Serbien zurück. Dort hielt sie sich offenbar - abgesehen von einer versuchten Reise nach E._______ im Jahr (...) (vgl. A1/12 S. 2) - bis zu ihrer ersten Reise in die Schweiz im Juli 2003 und nach ihrer Rückkehr anfangs 2004 auf. Die Beschwerdeführerin verbrachte damit den überwiegenden Teil ihres Lebens in Serbien. Zwei Töchter sowie ein Bruder der Beschwerdeführerin leben in Serbien, ihre Eltern und ein weiterer Bruder in E._______, ein Bruder sowie der Sohn der Beschwerdeführerin als Asylsuchende in der Schweiz (vgl. B1/10 S. 3). Von ihren Eltern in E._______ erhielt die Beschwerdeführerin finanzielle Unterstützung (vgl. B2/6 S. 3). Es ist nicht in Abrede zu stellen, dass die Beschwerdeführerin bei einer Rückkehr in ihren Heimatstaat mit gewissen Schwierigkeiten konfrontiert werden kann. Mit ihren zwei erwachsenen Töchtern und einem Bruder verfügt sie jedoch einerseits über ein Beziehungsnetz, anderseits ist davon auszugehen, sie werde weiterhin finanzielle Unterstützung durch ihre Verwandten in E._______ erhalten können und damit nicht in eine existenzbedrohende Lage geraten. Zudem stellen blosse soziale und wirtschaftliche Schwierigkeiten, wie namentlich Mangel an Wohnungen und Arbeitsplätzen, von welchen die ansässige Bevölkerung betroffen ist, keine existenzbedrohende Situation dar, welche den Vollzug der Wegweisung eines Ausländers oder einer Ausländerin in den Heimatstaat als unzumutbar erscheinen liessen (EMARK 2005 Nr. 24 E. 10.1 S. 215), weshalb auch allfällige wirtschaftliche Reintegrationsschwierigkeiten der Beschwerdeführerin dem Vollzug nicht entgegenstehen. Die von der Beschwerdeführerin erwähnten - jedoch unbelegt gebliebenen - gesundheitlichen Beeinträchtigungen, sie habe (...) und sei (...), wisse aber nicht, woran sie genau leide (vgl. B2/6 S. 3), lassen den Wegweisungsvollzug ebenfalls nicht als unzumutbar erscheinen, zumal Serbien über eine ausreichende medizinische Infrastruktur verfügt.</w:t>
      </w:r>
    </w:p>
    <w:p>
      <w:r>
        <w:rPr>
          <w:b/>
        </w:rPr>
        <w:t>E. 7.5</w:t>
      </w:r>
    </w:p>
    <w:p>
      <w:r>
        <w:t>Nach dem Gesagten ist der Vollzug der Wegweisung als zumutbar zu bezeichnen.</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9. Juni 2006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