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D-516/2023 vom 11. April 2023</w:t>
      </w:r>
    </w:p>
    <w:p>
      <w:r>
        <w:t>Bundesverwaltungsgericht, 2023-04-11, DE</w:t>
      </w:r>
    </w:p>
    <w:p>
      <w:r>
        <w:rPr>
          <w:b/>
        </w:rPr>
        <w:t xml:space="preserve">Quelle: </w:t>
      </w:r>
      <w:r>
        <w:t>https://mcp.opencaselaw.ch/entscheid/bvger_D-516_2023</w:t>
      </w:r>
    </w:p>
    <w:p>
      <w:r>
        <w:t>FR: TAF D-516/2023 du 11 avril 2023</w:t>
      </w:r>
    </w:p>
    <w:p>
      <w:r>
        <w:t>IT: TAF D-516/2023 del 11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und Art. 48 Abs. 1 VwVG). Auf die frist- und formgerecht eingereichte Beschwerde ist somit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Vorliegend handelt es sich im Urteilszeitpunkt - aufgrund des in der hier relevanten Rechtsfrage in der Zwischenzeit ergangenen Leitentscheids des Bundesverwaltungsgerichts E-1488/2020 vom 22. März 2023 (zur Publikation vorgesehen) - um eine solche, weshalb der Beschwerdeentscheid nur summarisch zu begründen ist (Art. 111a Abs.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nach Art. 21 und 22 Dublin-III-VO (engl.: take charge) sind die in Kapitel III (Art. 8-15 Dublin-III-VO) genannten Kriterien in der dort aufgeführten Rangfolge (Prinzip der Hierarchie der Zuständigkeitskriterien; vgl. Art. 7 Abs. 1 Dublin-III-VO) anzuwenden, und es ist dabei von der Situation in demjenigen Zeitpunkt auszugehen, in dem der Asylsuchende erstmals einen Antrag in einem Mitgliedstaat gestellt hat (Art. 7 Abs. 2 Dublin-III-VO).</w:t>
      </w:r>
    </w:p>
    <w:p>
      <w:r>
        <w:rPr>
          <w:b/>
        </w:rPr>
        <w:t>E. 3.3</w:t>
      </w:r>
    </w:p>
    <w:p>
      <w:r>
        <w:t>Wird festgestellt, dass ein Antragsteller aus einem Drittstaat kommend die Land-, See- oder Luftgrenze eines Mitgliedstaats illegal überschritten hat, so ist dieser Mitgliedstaat für die Prüfung des Antrags auf internationalen Schutz zuständig (Art. 13 Abs. 1 Dublin-III-VO). Die Zuständigkeit endet gemäss dieser Norm zwölf Monate nach dem Tag des illegalen Grenzübertritts.</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4.1</w:t>
      </w:r>
    </w:p>
    <w:p>
      <w:r>
        <w:t>Die Beschwerdeführenden wurden laut Abgleich der Fingerabdrücke mit der Eurodac-Datenbank am 28. Oktober 2022 in Kroatien aufgegriffen und dort daktyloskopisch registriert. Die kroatischen Behörden stimmten der Aufnahme der Beschwerdeführenden am 16. Januar 2023 in Anwendung von Art. 13 Abs. 1 Dublin-III-VO ausdrücklich zu. Die grundsätzliche Zuständigkeit Kroatiens für die Durchführung des Asyl- und Wegweisungsverfahrens der Beschwerdeführenden ist somit gegeben. Der Einwand der Beschwerdeführenden, sie seien dort zur Abgabe der Fingerabdrücke verpflichtet worden, obwohl sie gar kein Asylgesuch gestellt hätten, vermag daran nichts zu ändern, zumal ein Mitgliedstaat auch dann für die Prüfung eines Antrags um internationalen Schutz zuständig ist, wenn die betreffende Person - ohne einen Asylantrag gestellt zu haben - illegal eingereist und erfasst worden ist (Art. 13 Abs. 1 Dublin-III-VO). Die Abnahme der Fingerabdrücke von illegal einreisenden ausländischen Personen und Asylsuchenden stützt sich auf Art. 14 Abs. 1 der Verordnung (EU) Nr. 603/2013 des Europäischen Parlaments und des Rats vom 26. Juni 2013 (Eurodac-Verordnung). Das Vorgehen der kroatischen Behörden ist damit insoweit nicht zu beanstanden. Der von den Beschwerdeführenden nicht bestrittene Aufenthalt in Kroatien respektive ihre dortige illegale Einreise begründete die Zuständigkeit Kroatiens (Art. 18 Abs. 1 Bst. a Dublin-III-VO).</w:t>
      </w:r>
    </w:p>
    <w:p>
      <w:r>
        <w:rPr>
          <w:b/>
        </w:rPr>
        <w:t>E. 4.2</w:t>
      </w:r>
    </w:p>
    <w:p>
      <w:r>
        <w:t>Der Wunsch der Beschwerdeführenden um Verbleib in der Schweiz vermag nicht gegen die Zuständigkeit Kroatiens zu sprechen, zumal die Dublin-III-VO den Schutzsuchenden kein Recht einräumt, den ihren Antrag prüfenden Staat selber auszuwählen (vgl. auch BVGE 2010/40 E. 8.3).</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des Zusatzprotokolls der FK vom 31. Januar 1967 (SR 0.142.301) sowie des Internationalen Übereinkommens zur Beseitigung jeglicher Form von Rassendiskriminierung vom 21. Dezember 1965 (SR 0.104). Es darf davon ausgegangen werden, dieser Staat komme seinen diesbezüglichen völkerrechtlichen Verpflichtungen nach und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Im zur Publikation als Referenzurteil vorgesehenen 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ist, das Asylverfahren und die Aufnahmebedingungen in Kroatien wiesen systemische Schwachstellen im Sinne von Art. 3 Abs. 2 Sätze 2 und 3 Dublin-III-VO auf, die eine Überstellung von Gesuchstellenden generell als unzulässig erscheinen lassen würden (vgl. a.a.O. E. 9.5). Der - angesichts der (im Urteil in E. 9.4.2 f.) dargelegten Situation prima vista nicht unbegründete - Verdacht eines Gefährdungszusammenhangs zwischen Pushbacks und Dublin-Rückkehr lasse sich aufgrund der verfügbaren Informationen und Erkenntnisse nicht erhärten. Im Rahmen einer auf die Dublin-III-Verordnung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heutigen Zeitpunkt würden keine genügenden Anzeichen für die Befürchtung bestehen, im Dublin-Kontext überstellte Personen würden ohne Eröffnung und Durchführung eines Asylverfahrens in unzulässiger Weise aus Kroatien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 Verfahren handle. Insbesondere bestehe keine beachtliche Wahrscheinlichkeit, die Überstellten würden der Gefahr einer Verletzung ihrer aus dem Refoulement-Verbot fliessenden Rechte ausgesetzt werden (vgl. a.a.O. E. 9.5).</w:t>
      </w:r>
    </w:p>
    <w:p>
      <w:r>
        <w:rPr>
          <w:b/>
        </w:rPr>
        <w:t>E. 5.4</w:t>
      </w:r>
    </w:p>
    <w:p>
      <w:r>
        <w:t>Von einer Überstellung ist nur in Ausnahmefällen abzusehen, in welchen gesuchstellende Personen durch substantiierte Vorbringen darlegen können, dass die generelle Annahme wie im Referenzurteil E-1488/2020 vom 22. März 2023 aufgezeigt, in ihrem Fall nicht zutrifft. Dies gelingt den Beschwerdeführenden mit ihren Schilderungen der Erlebnisse beim Grenzübertritt nach Kroatien und kurzen Aufenthalt in dem Land sowie dem Verweis in der Rechtsmitteleingabe auf Berichte verschiedener Organisationen betreffend punktuelle Schwachstellen im kroatischen Asylsystem nicht. Eine Übernahme der Zuständigkeit Kroatiens gestützt auf Art. 3 Abs. 2 Dublin-III-VO ist damit nicht angezeigt.</w:t>
      </w:r>
    </w:p>
    <w:p>
      <w:r>
        <w:rPr>
          <w:b/>
        </w:rPr>
        <w:t>E. 6.1</w:t>
      </w:r>
    </w:p>
    <w:p>
      <w:r>
        <w:t>Es bleibt zu prüfen, ob die Vorinstanz angesichts der Vorbringen der Beschwerdeführenden trotz der grundsätzlichen Zuständigkeit Kroatiens das Selbsteintrittsrecht nach Art. 17 Abs. 1 erster Satz Dublin-III-VO, konkretisiert in Art. 29a Abs. 3 AsylV 1, hätte ausüben müssen. Zwar kann die Vermutung, Kroatien halte seine völkerrechtlichen Verpflichtungen nicht ein, im Einzelfall widerlegt werden. Dafür bedarf es aber konkreter und ernsthafter Hinweise, die gegebenenfalls vom Betroffenen glaubhaft darzutun sind (vgl. BVGE 2010/45 E. 7.4 f.). Der Entscheid über den Selbsteintritt liegt im pflichtgemässen Ermessen der Behörde. Ein einklagbarer Anspruch auf die Ausübung des Selbsteintrittsrechts besteht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6.2</w:t>
      </w:r>
    </w:p>
    <w:p>
      <w:r>
        <w:t>Die Beschwerdeführenden machten geltend, sie seien beim Grenzübertritt von kroatischen Polizisten geschlagen und getreten und anschliessend während des kurzen Aufenthalts in Kroatien unzulänglich versorgt worden. Zudem hätten sie gesundheitliche Probleme.</w:t>
      </w:r>
    </w:p>
    <w:p>
      <w:r>
        <w:rPr>
          <w:b/>
        </w:rPr>
        <w:t>E. 6.3</w:t>
      </w:r>
    </w:p>
    <w:p>
      <w:r>
        <w:t>Die kroatischen Behörden haben der Aufnahme der Beschwerdeführenden am 16. Januar 2023 zugestimmt und damit ihre Zuständigkeit zur Prüfung der Anträge der Beschwerdeführenden auf internationalen Schutz explizit anerkannt. Den Akten sind denn auch keine Gründe für die Annahme zu entnehmen, die kroatischen Behörden würden den Beschwerdeführenden nach einer Überstellung den Zugang zum Asylverfahren unter Einhaltung der Regeln der Verfahrensrichtlinie verweigern. Solches vermögen die Beschwerdeführenden mit der Behauptung in der Rechtsmitteleingabe vom 26. Januar 2023, es sei ihnen in Kroatien nach der illegalen Einreise im Oktober 2022 nicht die Möglichkeit zur Stellung eines Asylgesuchs eingeräumt worden, nicht darzulegen. Im Übrigen steht dieses Vorbringen in klarem Widerspruch zu ihrer Aussage beim Dublin-Gespräch vom 30. November 2022, damals gar nicht die Absicht zur Einreichung eines Asylgesuchs in Kroatien gehabt zu haben. Eine Garantie bezüglich des Zugangs der Beschwerdeführenden zum Asylverfahren in Kroatien nach ihrer Überstellung dorthin ist von den kroatischen Behörden nicht einzuholen. Der diesbezügliche (Rückweisungs-)Antrag der Beschwerdeführenden ist abzuweisen. Es liegen auch keine konkreten Anhaltspunkte für die Annahme vor, das Asylverfahren in Kroatien würde nicht korrekt durchgeführt beziehungsweise Kroatien würde im Fall der Beschwerdeführenden den Grundsatz des Non-Refoulement missachten und sie zur Ausreise in ein Land zwingen, in dem ihr Leib, ihr Leben oder ihre Freiheit aus einem Grund nach Art. 3 Abs. 1 AsylG gefährdet ist oder in dem sie Gefahr laufen würden, zur Ausreise in ein solches Land gezwungen zu werden.</w:t>
      </w:r>
    </w:p>
    <w:p>
      <w:r>
        <w:rPr>
          <w:b/>
        </w:rPr>
        <w:t>E. 6.4</w:t>
      </w:r>
    </w:p>
    <w:p>
      <w:r>
        <w:t>Es sind auch keine konkreten Hinweise für die Annahme gegeben, Kroatien würde den Beschwerdeführenden nach einer Überstellung im Rahmen des Dublin-Verfahrens dauerhaft die ihnen gemäss Aufnahmerichtlinie zustehenden minimalen Lebensbedingungen vorenthalten. Es darf davon ausgegangen werden, dass der Zugang zu einer Asylunterkunft, zu Nahrungsmitteln und zu medizinischer Grundversorgung für die Beschwerdeführenden nach einer Überstellung nach Kroatien gewährleistet ist. Nötigenfalls können sie sich an die zuständigen Behörden vor Ort wenden und die ihnen zustehenden Aufnahmebedingungen auf dem Rechtsweg einfordern (vgl. Art. 26 Aufnahmerichtlinie). Auch mit der Behauptung, seitens kroatischer Grenzwächter Gewalt erfahren zu haben, was nicht auszuschliessen und keinesfalls gutzuheissen wäre, vermögen die Beschwerdeführenden nicht darzutun, sie würden ernsthafte Gefahr laufen, bei einer Rückkehr nach Kroatien unmenschlich im Sinne von Art. 3 EMRK behandelt zu werden. Die Glaubhaftigkeit dieses Vorbringens muss vorliegend nicht abschliessend beurteilt werden. In diesem Zusammenhang ist darauf hinzuweisen, dass sich die Beschwerdeführenden nach der Dublin-Überstellung in einer anderen Situation befinden werden als bei ihrer ersten (illegalen) Einreise nach Kroatien. Sollten sie sich künftig von Behördenvertretern oder Drittpersonen ungerecht oder rechtswidrig behandelt fühlen, ist es ihnen zuzumuten, sich - allenfalls mit Unterstützung karitativer Organisationen vor Ort - an das Justizwesen Kroatiens oder dortige Aufsichtsbehörden zu wenden.</w:t>
      </w:r>
    </w:p>
    <w:p>
      <w:r>
        <w:rPr>
          <w:b/>
        </w:rPr>
        <w:t>E. 6.5</w:t>
      </w:r>
    </w:p>
    <w:p>
      <w:r>
        <w:t>Eine zwangsweise Rückweisung von Personen mit gesundheitlichen Problemen kann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6.5.1</w:t>
      </w:r>
    </w:p>
    <w:p>
      <w:r>
        <w:t>Die Beschwerdeführenden äusserten anlässlich der Dublin-Gespräche vom 30. November 2022 (...), (...) (Beschwerdeführerin), (...) (Beschwerdeführer) und Schmerzen von den Schlägen beim Grenzübertritt nach Kroatien. Laut den aktenkundigen medizinischen Unterlagen wurden dem Beschwerdeführer am 11. Januar 2023 Medikamente gegen (...) und (...) abgegeben. Die Beschwerdeführerin nahm am 9. Januar 2023 wegen eines leichten (...) und (...) einen Sprechstundentermin wahr; die betreffenden Beschwerden wurden medikamentös behandelt (vgl. SEM-Akte [...]). Zudem fand bei ihr am 3. Februar 2023 eine (...) Untersuchung wegen (...) statt, in deren Rahmen sie angab, auch (...) belastet zu sein (vgl. Arztbericht vom 6. Februar 2023).</w:t>
      </w:r>
    </w:p>
    <w:p>
      <w:r>
        <w:rPr>
          <w:b/>
        </w:rPr>
        <w:t>E. 6.5.2</w:t>
      </w:r>
    </w:p>
    <w:p>
      <w:r>
        <w:t>Die gesundheitlichen Probleme der Beschwerdeführenden sind nicht von einer Schwere, dass sie die Feststellung der Unzulässigkeit im Sinne der restriktiven Rechtsprechung zu rechtfertigen vermöchten. Zudem steht in Kroatien eine ausreichende medizinische Infrastruktur zur Verfügung und es gibt keine Anhaltspunkte dafür, dass den Beschwerdeführenden dort nach einer Überstellung erforderliche medizinische Behandlungen verweigert würden, zumal die Mitgliedstaaten zur entsprechenden Erbringung verpflichtet sind (vgl. Art. 26 Aufnahmerichtlinie). Nebst den staatlichen Einrichtungen bieten auch Nichtregierungsorganisationen in Kroatien Hilfestellung bei der psychologischen Betreuung von Asylsuchenden an, womit auch in dieser Hinsicht von einem genügenden Behandlungsangebot auszugehen ist (vgl. etwa Urteile des BVGer D-1737/2023 vom 6. April 2023 E. 7.5.2, D-272/2023 vom 8. Februar 2023 E. 7.2.3, D-4163/2022 vom 2. Februar 2023 E. 9.3.2, D-5422/2022 vom 23. Januar 2023 E. 9.3.2, D-5623/2022 vom 12. Dezember 2022 E. 6.2.2 und D-5299/2022 vom 30. November 2022 E. 7.2 m.v.H.).</w:t>
      </w:r>
    </w:p>
    <w:p>
      <w:r>
        <w:rPr>
          <w:b/>
        </w:rPr>
        <w:t>E. 6.5.3</w:t>
      </w:r>
    </w:p>
    <w:p>
      <w:r>
        <w:t>Das Bundesverwaltungsgericht geht in seiner Praxis davon aus, dass die schweizerischen Behörden bei den kroatischen Behörden in der Regel keine individuellen Zusicherungen bezüglich des Zugangs zu adäquater Unterbringung, Betreuung und medizinischer Versorgung einzuholen haben. Vorliegend bestehen - entgegen der Ansicht der Beschwerdeführenden - keine Gründe, die ein Abweichen von dieser Regel gebieten würden. Der entsprechende Subeventualantrag der Beschwerdeführenden um Rückweisung der Sache zwecks Einholung von Garantien ist abzuweisen. Die Beschwerdeführenden können sich an die zuständigen kroatischen Behörden wenden und die ihnen zustehenden Aufnahmebedingungen gegebenenfalls auf dem Rechtsweg einfordern (vgl. Art. 26 Aufnahmerichtlinie). Überdies werden die schweizerischen Behörden, die mit dem Vollzug der angefochtenen Verfügung beauftragt sind, den medizinischen Umständen bei der Bestimmung der konkreten Modalitäten der Überstellung der Beschwerdeführenden Rechnung tragen und die kroatischen Behörden vorgängig in geeigneter Weise über die spezifischen medizinischen Umstände informieren (vgl. Art. 31 f. Dublin-III-VO).</w:t>
      </w:r>
    </w:p>
    <w:p>
      <w:r>
        <w:rPr>
          <w:b/>
        </w:rPr>
        <w:t>E. 6.6</w:t>
      </w:r>
    </w:p>
    <w:p>
      <w:r>
        <w:t>Nach dem Gesagten konnten die Beschwerdeführenden kein konkretes und ernsthaftes Risiko dartun, wonach ihre Überstellung nach Kroatien die Verletzung völkerrechtlicher Bestimmungen zur Folge hätte.</w:t>
      </w:r>
    </w:p>
    <w:p>
      <w:r>
        <w:rPr>
          <w:b/>
        </w:rPr>
        <w:t>E. 7.1</w:t>
      </w:r>
    </w:p>
    <w:p>
      <w:r>
        <w:t>Der Vorinstanz kommt bei der Anwendung von Art. 29a Abs. 3 AsylV 1 Ermessen zu (vgl. BVGE 2015/9 E. 7 f.). Die angefochtene Verfügung ist unter diesem Blickwinkel nicht zu beanstanden. Entgegen der von den Beschwerdeführenden in der Rechtsmitteleingabe vertretenen Auffassung sind den Akten keine Hinweise auf eine gesetzeswidrige Ermessensausübung respektive ein Über- beziehungsweise Unterschreiten des Ermessens (vgl. Art. 106 Abs. 1 Bst. a AsylG) durch das SEM zu entnehmen. Der in diesem Zusammenhang erhobene Eventualantrag um Rückweisung zwecks Neubeurteilung durch die Vorinstanz ist abzuweisen. Das Bundesverwaltungsgericht enthält sich unter diesen Umständen weiterer Ausführungen zur Frage eines Selbsteintritts.</w:t>
      </w:r>
    </w:p>
    <w:p>
      <w:r>
        <w:rPr>
          <w:b/>
        </w:rPr>
        <w:t>E. 7.2</w:t>
      </w:r>
    </w:p>
    <w:p>
      <w:r>
        <w:t>Nach dem Gesagten besteht kein Grund für eine Anwendung der Ermessensklauseln von Art. 17 Dublin-III-VO. An dieser Stelle bleibt nochmals festzuhalten, dass die Dublin-III-VO den Schutzsuchenden kein Recht einräumt, den ihren Antrag prüfenden Staat selber auszuwählen (vgl. BVGE 2010/45 E. 8.3). Kroatien bleibt somit zuständiger Mitgliedstaat gemäss Dublin-III-VO und ist verpflichtet, die Beschwerdeführenden aufzunehmen.</w:t>
      </w:r>
    </w:p>
    <w:p>
      <w:r>
        <w:rPr>
          <w:b/>
        </w:rPr>
        <w:t>E. 7.3</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7.4</w:t>
      </w:r>
    </w:p>
    <w:p>
      <w:r>
        <w:t>Unter diesen Umständen sind allfällige Vollzugshindernisse gemäss Art. 83 Abs. 3 und 4 AIG (SR 142.20) nicht mehr zu prüfen, da das Fehlen von solchen bereits Voraussetzung des Nichteintretensentscheids gemäss Art. 31a Abs.1 Bst. b AsylG ist (vgl. BVGE 2015/18 E. 5.2 m.w.H.).</w:t>
      </w:r>
    </w:p>
    <w:p>
      <w:r>
        <w:rPr>
          <w:b/>
        </w:rPr>
        <w:t>E. 8</w:t>
      </w:r>
    </w:p>
    <w:p>
      <w:r>
        <w:t>Die Beschwerde ist aufgrund des Gesagten abzuweisen und die Verfügung des SEM zu bestätigen.</w:t>
      </w:r>
    </w:p>
    <w:p>
      <w:r>
        <w:rPr>
          <w:b/>
        </w:rPr>
        <w:t>E. 9</w:t>
      </w:r>
    </w:p>
    <w:p>
      <w:r>
        <w:t>Bei diesem Ausgang des Verfahrens wären die Kosten grundsätzlich den Beschwerdeführenden aufzuerlegen (Art. 63 Abs. 1 VwVG). Nachdem ihnen aber mit Zwischenverfügung vom 16. Februar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