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D-5169/2012 vom 20. Februar 2013</w:t>
      </w:r>
    </w:p>
    <w:p>
      <w:r>
        <w:t>Bundesverwaltungsgericht, 2013-02-20, DE</w:t>
      </w:r>
    </w:p>
    <w:p>
      <w:r>
        <w:rPr>
          <w:b/>
        </w:rPr>
        <w:t xml:space="preserve">Quelle: </w:t>
      </w:r>
      <w:r>
        <w:t>https://mcp.opencaselaw.ch/entscheid/bvger_D-5169_2012</w:t>
      </w:r>
    </w:p>
    <w:p>
      <w:r>
        <w:t>FR: TAF D-5169/2012 du 20 février 2013</w:t>
      </w:r>
    </w:p>
    <w:p>
      <w:r>
        <w:t>IT: TAF D-5169/2012 del 20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Vorinstanz geht von der Unglaubhaftigkeit der Kernvorbringen des Be­schwerdeführers aus. Diese Sichtweise überzeugt.</w:t>
      </w:r>
    </w:p>
    <w:p>
      <w:r>
        <w:rPr>
          <w:b/>
        </w:rPr>
        <w:t>E. 4.1</w:t>
      </w:r>
    </w:p>
    <w:p>
      <w:r>
        <w:t>Es mag zwar zutreffen, dass zwei Brüder des Beschwerdeführers die Partei von Hekmatyar unterstützten und unter den von ihm geltend gemach­ten Umständen ums Leben kamen. Eine deswegen auch ihm dro­hende Verfolgung vermochte er indes in der Tat nicht glaubhaft zu ma­chen. So vermittelte er bei der Summarbefragung das Bild einer politisch nicht aktiven Person; er sagte dabei aus, mit der Regierung keine Prob­leme gehabt zu haben (A 1/10 S. 6). In einem gewissen Widerspruch dazu führte er anlässlich der Anhörung aus, Mitglieder der Islami-Partei mit Essen versorgt zu haben (A 9/12 Antwort 57). Unbesehen der Frage, ob dies auch tatsächlich erfolgt ist, vermittelt er jedenfalls auch so nicht das Bild einer politisch beziehungsweise militärisch aktiven Person, wie es seine beiden Brüder gewesen sein sollen.</w:t>
      </w:r>
    </w:p>
    <w:p>
      <w:r>
        <w:rPr>
          <w:b/>
        </w:rPr>
        <w:t>E. 4.2</w:t>
      </w:r>
    </w:p>
    <w:p>
      <w:r>
        <w:t>Vor diesem Hintergrund und in Anbetracht kaum schlüssiger Erklärun­gen kann nicht nachvollzogen werden, weshalb Personen aus denjenigen Kreisen, welche für den Tod der Brüder verantwortlich gewesen sein sol­len, anderthalb Jahre nach dem Tod von B._______ nun auch gegen den Be­schwerdeführer vorgehen würden. Vielmehr fällt auf, dass er bei der Anhö­rung auf sehr stereotype Weise eine angebliche Vorsprache von mut­masslichen Tätern bei ihm zuhause schilderte. Realkennzeichen oder auch nur ansatzweise substanziierte Vorbringen auf Nachfragen fehlen, weshalb sich - so auch in Berücksichtigung der vom BFM festgestellten Un­gereimtheiten, denen er in der Beschwerde nichts Stichhaltiges entgegen­zusetzen vermochte - der Verdacht einer Verfolgungsge­schichte ohne realen Hintergrund erhärtet (A 9/12 Antworten 39, 40 ff. und 66 ff.). Im Übrigen gab er an, nach dem angeblichen Vorfall zu seinem On­kel geflohen und dort gewohnt zu haben - mithin an einem Ort, wo ihn allfällige Feinde bei tatsächlich vorhandener Verfolgungsmotivation ohne grosse Probleme hätten ausfindig machen können. In der Beschwerde ge­lingt es ihm mangels stichhaltiger Vorbringen nicht, die Unstimmigkei­ten zu erklären beziehungsweise das geltend gemachte Verfolgungsinte­resse als plausibel darzulegen. Die vorinstanzlichen und auch die auf Beschwerde­ebene eingereichten Beweismittel, welche kaum ihn persönlich betreffen, sind allenfalls geeignet, den Tod der von ihm als Brüder bezeich­neten Personen und Bezüge seiner Angehörigen zu Pakistan zu un­termauern; eine gegen ihn erfolgte oder drohende zielgerichtete Verfol­gung vermögen sie aber - so auch im Sinne der vorinstanzlichen Vernehm­lassung - nicht glaubhaft zu machen. Schliesslich hat der Be­schwerdeführer anlässlich der Summarbefragung den langjährigen Pakistan­aufenthalt nicht geltend gemacht und Kabul als seinen bisheri­gen Lebensmittelpunkt protokollieren lassen. Erst bei der Anhörung legte er dar, als Jugendlicher zusammen mit Angehörigen dorthin ausgewan­dert zu sein. Dieses mutmasslich asyltaktische Aussageverhalten beein­trächtigt die Glaubhaftigkeit seiner Vorbringen zusätzlich.</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5.1</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Kabul lässt den Wegweisungsvollzug zum heutigen Zeitpunkt nicht als generell unzulässig erscheinen. Dies er­gibt sich unter anderem aus BVGE 2011/7 (vgl. auch untenstehend E. 6.5.1).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Die Zumutbarkeit des Vollzugs ist grundsätz­lich von Amtes wegen zu prüfen; diese Untersuchungspflicht fin­det jedoch nach Treu und Glauben ihre Grenzen an der Mitwirkungspflicht der asylsuchenden Person, die im Übrigen auch die Substanziierungslast trägt (Art. 7 und 8 AsylG). Der Be­schwerdeführer hat wie erwähnt den langjährigen Pakistan-Aufenthalt vor­erst verschwiegen. So gab er bei der Summarbefragung an, von Ge­burt an bis 35 Tage vor der Ausreise in Kabul Wohnsitz gehabt zu haben. Er sei nur während der Ausreise im Ausland gewesen. Als einzige Ver­wandte nebst der Mutter führte er vorerst eine Verlobte und eine Tante an. Erst zu einem späteren Zeitpunkt der Summarbefragung und anlässlich der kantonalen Anhörung erwähnte er noch einen Onkel, welcher in Kabul ein Haus habe. Somit hat der Beschwerdeführer die Folgen seines wider­sprüchlichen Aussageverhaltens insofern zu tragen, als nur eine einge­schränkte Prüfung von Vollzugshin­dernissen erfolgt; es kann grundsätz­lich nicht Sache der Asylbe­hörden sein, nach hypothetischen Wegweisungshindernissen im mutmasslichen Herkunftsland zu forschen. Vielmehr können im Rahmen der freien Beweiswürdigung (Art. 40 des Bun­desgesetzes vom 4. Dezember 1947 über den Bundeszivilprozess [BZP, SR 273] i.V.m. Art. 19 VwVG) durchaus Rückschlüsse auf die für sie im Heimatland tatsächlich bestehende Situation gezogen werden.</w:t>
      </w:r>
    </w:p>
    <w:p>
      <w:r>
        <w:rPr>
          <w:b/>
        </w:rPr>
        <w:t>E. 6.5.1</w:t>
      </w:r>
    </w:p>
    <w:p>
      <w:r>
        <w:t>Im erwähnten Urteil BVGE 2011/7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bestehen, dass die Situation als exis­tenz­bedrohend im Sinne von Art. 83 Abs. 4 AuG zu qualifizieren ist.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Im Übrigen be­tone auch der schweizerische Botschafter in Islamabad die vorrangige Be­deutung eines tragfähigen sozialen Netzes für einen Rückkehrer zur Ver­meidung unüberbrückbarer Schwierigkeiten (vgl. E. 9.3 ff.)</w:t>
      </w:r>
    </w:p>
    <w:p>
      <w:r>
        <w:rPr>
          <w:b/>
        </w:rPr>
        <w:t>E. 6.5.2</w:t>
      </w:r>
    </w:p>
    <w:p>
      <w:r>
        <w:t>Der Beschwerdeführer stammt offensichtlich aus einer vermögen­den Familie (vgl. A 9/12 Antworten 80 f.), wurde in Kabul geboren und hat dieses Land wegen angeblicher Verfolgung wieder verlassen. Dass seine Familie gewisse Bezüge zu Pakistan aufweist und auch er dort weilte, mag in Anbetracht der Aktenlage zutreffen. Soweit er im Rahmen eines fachärztlichen Gesprächs darlegte, seine Familie habe in Pakistan Bau­land erworben, um ein Haus zu bauen, wo sie bis zum Tod des Vaters ge­lebt hätten (A 29/2 S. 1), eröffnet sich für ihn die zusätzliche Möglichkeit, unter mutmasslich zumutbaren Verhältnissen auch dorthin zurückzukeh­ren, zumal die Wiedereinreise unter diesen Voraussetzungen gewährleis­tet sein dürfte. Ob sein Onkel in Kabul tatsächlich ums Leben kam, lässt sich nicht schlüssig beurteilen. Das BFM weist diesbezüglich aber zu Recht darauf hin, dass eine offizielle Bestätigung dafür fehlt; die Vorinstanz hält auch fest, dass E._______ nur eine Tagesreise von Kabul entfernt liegt. Die genauen sozialen Verhältnisse im Herkunftsland respektive Pakistan bleiben aber nach dem Gesagten aus dem Beschwerdeführer anzulasten­den Gründen im Dunkeln und sind vom Gericht nicht näher zu eruie­ren. Jedenfalls darf gestützt auf die bestehenden Akten der Schluss ge­zogen werden, dass er weder im Heimatland noch in Pakistan in eine existenzbedrohende Lage geraten wird. Die im Arztbericht vom 20. Septem­ber 2012 vermutete posttraumatische Belastungsstörung liesse sich im Bedarfsfall auch vor Ort behandeln. Diesbezüglich kann vollumfäng­lich auf die vorinstanzliche Vernehmlassung verwiesen wer­den. In der Replik bringt der Beschwerdeführer nichts Neues, was aus ge­sundheitlichen Gründen gegen den Vollzug sprechen würde, vor. Nach­dem seine konkreten Lebensumstände in Kabul oder in Pakistan wegen sei­nes Aussage­verhaltens nicht vollständig geklärt sind, erübrigen sich an dieser Stelle weitere Ausführungen.</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dem Beschwerdeführer aufzuerlegen (Art. 63 Abs. 1 VwVG). Da das Gesuch im Sinne von Art. 65 Abs. 1 VwVG mit Zwischenverfügung vom 15. Okto­ber 2012 gutgeheissen wurde und sich seine finanzielle Situation offenbar nicht verändert hat,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