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D-5164/2010 vom 26. Juli 2010</w:t>
      </w:r>
    </w:p>
    <w:p>
      <w:r>
        <w:t>Bundesverwaltungsgericht, 2010-07-26, DE</w:t>
      </w:r>
    </w:p>
    <w:p>
      <w:r>
        <w:rPr>
          <w:b/>
        </w:rPr>
        <w:t xml:space="preserve">Quelle: </w:t>
      </w:r>
      <w:r>
        <w:t>https://mcp.opencaselaw.ch/entscheid/bvger_D-5164_2010</w:t>
      </w:r>
    </w:p>
    <w:p>
      <w:r>
        <w:t>FR: TAF D-5164/2010 du 26 juillet 2010</w:t>
      </w:r>
    </w:p>
    <w:p>
      <w:r>
        <w:t>IT: TAF D-5164/2010 del 26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Beschwerdeführerin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108 Abs. 2 AsylG, Art. 105 AsylG i.V.m. Art. 37 VGG und Art. 52 Abs. 1 VwVG)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Die in der Beschwerde formulierten Rechtsbegehren ("annuler la décision de l'ODM" und "examiner le recours au fond") sind aufgrund der Begründung, in der unter anderem auch die Stichhaltigkeit der vom BFM gegen die Glaubhaftigkeit der geltend gemachten Verfolgungssituation angeführten Argumente zu entkräften versucht wird, dahingehend zu interpretieren, dass sich die Beschwerde vom 9. Juli 2010 im Ergebnis auch gegen die vorinstanzlich verweigerte Zuerkennung der Flüchtlingseigenschaft beziehungsweise Asylgewährung richtet.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Die Beschwerdeführerin begründete ihr Asylgesuch im Wesentlichen damit, sie sei aufgrund ihrer lesbischen Beziehung vom Ehemann ihrer Freundin verfolgt worden. Darüber hinaus sei Homosexualität in Kamerun strafbar.</w:t>
      </w:r>
    </w:p>
    <w:p>
      <w:r>
        <w:rPr>
          <w:b/>
        </w:rPr>
        <w:t>E. 6.1</w:t>
      </w:r>
    </w:p>
    <w:p>
      <w:r>
        <w:t>Wie das BFM in seiner Verfügung vom 9. Juli 2010 indessen zutreffend festgestellt hat, weisen die Vorbringen der Beschwerdeführerin derart viele Widersprüche auf, dass ihr die geltend gemachte Verfolgungssituation nicht geglaubt werden kann.</w:t>
      </w:r>
    </w:p>
    <w:p>
      <w:r>
        <w:rPr>
          <w:b/>
        </w:rPr>
        <w:t>E. 6.1.1</w:t>
      </w:r>
    </w:p>
    <w:p>
      <w:r>
        <w:t>So erklärte sie beispielsweise anlässlich ihrer ersten Anhörung, der Ehemann ihrer Freundin habe bereits im Jahre 2005 von ihrer lesbischen Beziehung mit seiner Ehefrau erfahren und sie deswegen verfolgt, weshalb sie im selben Jahr auch nach Gabun geflohen sei (vgl. act. A8 S. 4 f.). Demgegenüber behauptete die Beschwerdeführerin anlässlich ihrer zweiten Anhörung, der Ehemann ihrer Freundin habe erst am 3. März 2008 Verdacht geschöpft; sie sei im Jahre 2005 nach Gabun gegangen, um dort eine Zusatzausbildung zu machen (vgl. act. A13 S. 3).</w:t>
      </w:r>
    </w:p>
    <w:p>
      <w:r>
        <w:rPr>
          <w:b/>
        </w:rPr>
        <w:t>E. 6.1.2</w:t>
      </w:r>
    </w:p>
    <w:p>
      <w:r>
        <w:t>Im Weiteren gab die Beschwerdeführerin anlässlich ihrer Erstanhörung zu Protokoll, sie sei nach Aufgabe ihrer Arbeit als Sekretärin im Jahre 1999 keiner weiteren Erwerbstätigkeit mehr nachgegangen. Im Jahre 2005 habe sie nach ihrer Flucht nach Gabun indessen eine vierjährige Ausbildung in Massage, Frisieren und Schneidern absolvieren können, wobei ihre Freundin diese Ausbildung finanziert habe (vgl. act. A8 S. 4). Ihre Freundin habe sie auch nach ihrer Rückkehr nach Kamerun im Jahre 2008 finanziell unterstützt und dabei ihre Miete bezahlt und ihr Geld zum Essen gegeben (vgl. act. A8 S. 5). Bei der Zweitanhörung behauptete sie demgegenüber, sie habe nach dem Bankrott ihres früheren Arbeitgebers im Jahre 1999 eine einjährige Ausbildung in Massage, Coiffure und Schneiderei durchlaufen und alsdann ein eigenes Institut eröffnet. Für ihren finanziellen Unterhalt sei sie selber aufgekommen und dabei auch ihre sechsmonatige Zusatzausbildung in Gabun aus den Einkünften ihres Institutes finanziert (vgl. act. A13, S. 3, 4 und 5 Ziff. 6).</w:t>
      </w:r>
    </w:p>
    <w:p>
      <w:r>
        <w:rPr>
          <w:b/>
        </w:rPr>
        <w:t>E. 6.1.3</w:t>
      </w:r>
    </w:p>
    <w:p>
      <w:r>
        <w:t>Weiter führte die Beschwerdeführerin bei der Erstanhörung an, sie habe sich noch in der Nacht vom 18. auf den 19. Juni 2010 in ihrer Wohnung aufgehalten und sei erst danach ins Hotel C.__________ gezogen (vgl. act. A8 S. 12). Ihren Angaben bei der Zweitanhörung zufolge will sie bereits nach ihrer Entlassung aus dem Spital im Oktober 2009 ins besagte Hotel gezogen sein und sich dort bis zu ihrer Ausreise am 20. Juni 2010 versteckt haben (vgl. act. A13 S. 4 und S. 9 Ziff. 48).</w:t>
      </w:r>
    </w:p>
    <w:p>
      <w:r>
        <w:rPr>
          <w:b/>
        </w:rPr>
        <w:t>E. 6.1.4</w:t>
      </w:r>
    </w:p>
    <w:p>
      <w:r>
        <w:t>Weiter fällt auf, dass die Beschwerdeführerin bei ihrer Befragung vom 27. Juni 2010 erklärte, dass der Ehemann ihrer Freundin sie selbst geschlagen habe, nachdem er ihr Verhältnis entdeckt habe (vgl. act. A8 S. 8), ohne eine Vergewaltigung durch Unbekannte geltend zu machen, wogegen sie anlässlich ihrer späteren Anhörung vom 2. Juli 2010 behauptete, ungefähr im Juni 2009 von zwei unbekannten Männern auf mutmassliche Anweisung des Ehemannes ihrer Freundin hin vergewaltigt worden zu sein (vgl. act. A13 S. 3/ 4), ohne zu erwähnen, sie sei auch einmal vom Ehemann ihrer Freundin persönlich angegriffen worden.</w:t>
      </w:r>
    </w:p>
    <w:p>
      <w:r>
        <w:rPr>
          <w:b/>
        </w:rPr>
        <w:t>E. 6.1.5</w:t>
      </w:r>
    </w:p>
    <w:p>
      <w:r>
        <w:t>Schliesslich behauptete die Beschwerdeführerin bei der Erstanhörung, keine Anzeige gegen den Ehemann ihrer Freundin gemacht zu haben, da sie um dessen Einfluss und Gefährlichkeit gewusst habe (vgl. act. A8 S. 11), während sie bei der Zweitanhörung angab, sie habe nach ihrer Vergewaltigung auf Anraten ihres Sohnes eine Anzeige gegen Unbekannt gemacht (vgl. act. A13 S. 4).</w:t>
      </w:r>
    </w:p>
    <w:p>
      <w:r>
        <w:rPr>
          <w:b/>
        </w:rPr>
        <w:t>E. 6.2</w:t>
      </w:r>
    </w:p>
    <w:p>
      <w:r>
        <w:t>Die Beschwerdeführerin hat bereits im Rahmen ihrer einlässlichen Anhörung durch das BFM am 2. Juli 2010 zu ihren Asylgründen versucht, die in der angefochtenen Verfügung erwähnten, durchwegs erheblichen Widersprüche zwischen den beiden Befragungsprotokollen durch die Behauptung zu entkräften, sie sei anlässlich ihrer ersten Anhörung immer noch traumatisiert gewesen, weil sie sich in den Händen von Polizisten befunden habe, Männer bei ihrer Befragung anwesend gewesen seien und sie deshalb grosse Angst gehabt habe (vgl. act. A13 S. 5 und 9). Aus diesem Grunde habe sie nicht frei sprechen (vgl. act. A13 S. 5 Ziff. 5) beziehungsweise alles sagen können, was sie wisse (vgl. act. A13 S. 5 Ziff. 7).</w:t>
      </w:r>
    </w:p>
    <w:p>
      <w:r>
        <w:rPr>
          <w:b/>
        </w:rPr>
        <w:t>E. 6.2.1</w:t>
      </w:r>
    </w:p>
    <w:p>
      <w:r>
        <w:t>Diese Einwände vermögen indessen bei näherer Durchsicht des Erstprotokolls allein schon deshalb nicht zu überzeugen, weil die Beschwerdeführerin dort auf die Frage hin, weshalb sie bereits einen Anwalt gesucht habe, bevor sie überhaupt ein Asylgesuch gestellt habe, antwortete, sie habe sich einfach jemandem anvertrauen wollen, weil sie nicht die Möglichkeit gehabt habe, alles zu erklären, wie sie es nun hier (sic!) könne (vgl. act. A8 S. 8 Ziff. 12). Darüber hinaus bestätigte sie nach Rückübersetzung des Befragungsprotokolls vom 27. Juni 2010 unterschriftlich, dass die darin protokollierten Aussagen der Wahrheit entsprächen (vgl. act. A8 S. 16), nachdem sie auch die vorgängig gestellte Frage, wie sie den Dolmetscher verstanden habe, mit "Gut" beantwortet hatte (vgl. act. A8 S. 16 Ziff. 23). Dabei muss sie sich behaften lassen. Der Hinweis in der Beschwerde, die Tatsache, dass die Beschwerdeführerin während beider Anhörungen unablässig geweint habe, weise auf ihre seelischen Qualen während der Anhörungen hin (vgl. Beschwerde S. 4/IV/Ziff. 1), vermag hieran nichts zu ändern.</w:t>
      </w:r>
    </w:p>
    <w:p>
      <w:r>
        <w:rPr>
          <w:b/>
        </w:rPr>
        <w:t>E. 6.2.2</w:t>
      </w:r>
    </w:p>
    <w:p>
      <w:r>
        <w:t>Selbst wenn das Konzentrationsvermögen der Beschwerdeführerin anlässlich ihrer ersten Anhörung aus wie auch immer gearteten Gründen beeinträchtigt gewesen wäre, würde dieser Umstand allein nicht erklären, weshalb die Beschwerdeführerin nicht einmal in der Lage gewesen wäre, konzise Aussagen im Kontext mit ihrer gesellschaftlichen Situierung zu machen, da es sehr wohl einen Unterschied macht, ob sie seit zehn Jahren Inhaberin eines Schönheitsinstituts und finanziell unabhängig ist oder aber seit Beendigung ihrer beruflichen Tätigkeit als Sekretärin im Jahre 1999 keiner Erwerbstätigkeit mehr nachgeht und finanziell von ihrer Freundin B.__________ abhängig ist. Aufgrund ihrer diesbezüglich widersprüchlichen Aussagen drängt sich der Schluss auf, dass die Angaben der Beschwerdeführerin zu ihrem beruflichen Werdegang als Geschäftsbesitzerin nicht den Tatsachen entsprechen. Darüber hinaus fällt es auch schwer zu glauben, dass die Beschwerdeführerin nicht in der Lage gewesen sein könnte, übereinstimmende Angaben zum Zeitpunkt, seit dem der Ehemann ihrer Freundin von ihrem lesbischen Verhältnis gewusst habe oder hinsichtlich der Frage, ob sie während mehrerer Monate oder bloss zwei Tage lang Zuflucht im Hotel C.__________ gesucht habe, zu machen. Bereits vor diesem Hintergrund bestehen, selbst bei Annahme einer gewissen Beeinträchtigung der Wahrnehmungsfähigkeit der Beschwerdeführerin anlässlich ihrer ersten Anhörung, erhebliche Zweifel an der angeblichen Verfolgungssituation der Beschwerdeführerin. Zu keiner anderen Einschätzung vermögen auch die beiden mit der Beschwerde eingereichten Berufsausbildungsbestätigungen sowie die Bestätigung des Hotels C.__________ zu führen. Diese Dokumente liegen lediglich in Form von Farbkopien vor, deren Beweiswert als gering einzustufen ist.</w:t>
      </w:r>
    </w:p>
    <w:p>
      <w:r>
        <w:rPr>
          <w:b/>
        </w:rPr>
        <w:t>E. 6.3</w:t>
      </w:r>
    </w:p>
    <w:p>
      <w:r>
        <w:t>Hinzu tritt der Umstand, dass die Vorbringen der Beschwerdeführerin im Zusammenhang mit ihren Asylgründen im Kern auch erhebliche Ungereimtheiten enthalten.</w:t>
      </w:r>
    </w:p>
    <w:p>
      <w:r>
        <w:rPr>
          <w:b/>
        </w:rPr>
        <w:t>E. 6.3.1</w:t>
      </w:r>
    </w:p>
    <w:p>
      <w:r>
        <w:t>So fällt vorab auf, dass die Beschwerdeführerin nicht in der Lage war, die Beziehung mit ihrer Partnerin sowie deren Lebensumstände nuanciert zu beschreiben. Ihre auf entsprechenden Vorhalt hin abgegebene Erklärung, sie und ihre Partnerin hätten nur über ihre Liebe und Sexualität gesprochen (vgl. act. A13 S. 6 Ziff. 11), vermag mit Blick auf ein angeblich zehnjähriges Intimverhältnis in keiner Weise zu überzeugen. Auch die Erklärung, sie habe sich nicht in die Partnerschaft ihrer Freundin einmischen wollen (vgl. act. A13 S. 6 Ziff. 10), mutet im Gesamtzusammenhang als reine Schutzbehauptung an. Bereits deshalb sind auch Zweifel daran angebracht, dass die Beschwerdeführerin tatsächlich ein lesbisches Verhältnis mit B.__________ unterhalten hat.</w:t>
      </w:r>
    </w:p>
    <w:p>
      <w:r>
        <w:rPr>
          <w:b/>
        </w:rPr>
        <w:t>E. 6.3.2</w:t>
      </w:r>
    </w:p>
    <w:p>
      <w:r>
        <w:t>Wenig nachvollziehbar bleibt sodann, weshalb sich der Ehemann der Freundin der Beschwerdeführerin nicht veranlasst sah, deren Aufenthaltsort nach ihrer Spitalentlassung im Oktober 2009 ausfindig zu machen. Der entsprechende sinngemässe Erklärungsversuch der Beschwerdeführerin, dieser sei nach den inszenierten gewalttätigen Übergriffen auf ihre Person davon ausgegangen, dass sie seine Ehefrau in Ruhe lassen werde (wörtlich: "Der Ehemann von C. hat ihr gesagt, er habe ihre Coiffeuse zurechtgewiesen, sie solle C. nicht mehr belästigen." [vgl. act. A13 S. 6 Ziff. 18]), mutet allein schon deshalb wenig überzeugend an, als Letzterer ja hätte annehmen müssen, dass sich die beiden Frauen - wie von ihnen denn auch bestätigt wurde - weiterhin treffen könnten. Dass er dabei allem Anschein nicht einmal Anstalten machte, dies herauszufinden, mutet mit Blick auf die angebliche Vorgeschichte höchst unglaubhaft an.</w:t>
      </w:r>
    </w:p>
    <w:p>
      <w:r>
        <w:rPr>
          <w:b/>
        </w:rPr>
        <w:t>E. 6.4</w:t>
      </w:r>
    </w:p>
    <w:p>
      <w:r>
        <w:t>Abschliessend bleibt festzuhalten, dass es ebenfalls nicht für die persönliche Glaubwürdigkeit der Beschwerdeführerin spricht, auf die Frage hin, was die beiden Stempeleinträge vom 15. November 2009 (Ausreisestempel aus Kamerun) und vom 18. April 2010 (Einreisestempel nach Kamerun) in ihrem Reisepass vom 30. Oktober 2009 bedeuten würden, in fadenscheiniger Manier zu erklären, sie selbst sei unmittelbar nach dessen Ausstellung nicht mehr in dessen Besitz gewesen, sondern habe diesen erst am 20. Juni 2010 von ihrer Freundin ausgehändigt erhalten (vgl. act. A8 S. 8 f.).</w:t>
      </w:r>
    </w:p>
    <w:p>
      <w:r>
        <w:rPr>
          <w:b/>
        </w:rPr>
        <w:t>E. 6.5</w:t>
      </w:r>
    </w:p>
    <w:p>
      <w:r>
        <w:t>Zusammenfassend ist festzuhalten, dass die Beschwerdeführerin keine Gründe nach Art. 3 AsylG nachzuweisen oder glaubhaft zu machen vermag. An dieser Einschätzung vermögen weder die Entgegnungen in der Rechtsmitteleingabe noch die eingereichten Beweismittel etwas zu ändern.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Der Rechtsvertreter der Beschwerdeführerin macht auf Beschwerdeebene geltend, ein Wegweisungsvollzug sei aufgrund der gravierenden gesundheitlichen Probleme seiner Mandantin nicht opportun. Er behalte sich diesbezüglich das Recht vor, die entsprechenden künftigen medizinischen Unterlagen der medizinischen Dienste des Flughafens Zürich beziehungsweise der seine Mandantin betreuenden Ärzte nachzureichen. Letztlich würde es auch reine Willkür bedeuten, wenn das BFM beziehungsweise das Bundesverwaltungsgericht die vorliegende gesundheitliche Situation seiner Mandantin nicht zum Anlass nehmen sollten, weitergehende Abklärungen zu treffen (vgl. Beschwerde S. 5 Ziff. 6 und 7). Einleitend ist festzuhalten, dass die geltend gemachten gesundheitlichen Probleme unter dem Gesichtspunkt der Zumutbarkeit des Wegweisungsvollzugs zu prüfen sind. Gründe ausschliesslich medizinischer Natur lassen den Wegweisungsvollzug im Allgemeinen nicht als unzumutbar erscheinen, ausser es sei mit einer drastischen Verschlechterung des Gesundheitszustandes zu rechnen, welche eine menschenunwürdige Existenz nicht mehr gewährleistet, weil die erforderliche Behandlung zur Abwendung dieser Folgen im Heimatland nicht erhältlich ist. Dabei vermag ein qualitativ tieferer Standard der medizinischen Infrastruktur sowie der Behandlungsmöglichkeiten im Heimatland keinen Aufenthalt in der Schweiz zu begründen (vgl. BVGE 2009/52 E. 10.1 S. 756 f., EMARK 2004 Nr. 7 E. 5d S. 52, EMARK 2003 Nr. 24 E. 5b S. 157). Wie den vom Rechtsvertreter auf Rechtsmittelebene eingereichten Unterlagen des Airport Medical Center (Beschwerdebeilagen 6) zu entnehmen ist, leidet die Beschwerdeführerin zur Hauptsache an einer sehr grossen Gebärmutter ("Uterus myomatosus"). Es handelt sich hierbei um einen der häufigsten gutartigen Tumore bei Frauen. So weisen ungefähr 25 Prozent der Frauen nach dem 30. Lebensjahr Uterusmyome auf, etwa 25 Prozent von ihnen haben Beschwerden. Myome können einzeln vorkommen (solitäre Myome), oft aber sind sie in grösserer Zahl in der Gebärmutter verteilt, die man dann als Uterus myomatosus bezeichnet. Aufgrund der Aktenlage ist festzuhalten, dass die geltend gemachten gesundheitlichen Probleme nicht ausreichen, um die Unzumutbarkeit des Wegweisungsvollzugs im Sinne der obgenannten Rechtsprechung zu begründen. So ist insbesondere den von der Beschwerdeführerin auf Rechtsmittelebene eingereichten medizinischen Unterlagen zu entnehmen, dass sie bereits in ihrer Heimat an dem entsprechenden Krankheitsbild litt und deswegen auch schon medizinisch behandelt wurde. Es ist davon auszugehen, dass die Beschwerdeführerin im Bedarfsfall auch künftig auf die medizinische Infrastruktur in ihrem Heimatland zurückgreifen kann, zumal zumindest in grossen Städten wie Douala und Yaoundé die notwendigen medizinischen Institutionen vorhanden sind, um eine adäquate Behandlung des Uterus myomatosus zu gewährleisten. Es ist unter diesen Umständen im Sinne einer antizipierten Beweiswürdigung (vgl. BVGE 2008/24 E. 7.2 S. 356, EMARK 2003 Nr. 13, E. 4a S. 84, André Moser/Michael Beusch/Lorenz Kneubühler, Prozessieren vor dem Bundesverwaltungsgericht, Handbücher für die Anwaltspraxis, Band X, Basel 2008, Rz. 3.144 S. 165) davon auszugehen, dass weitergehende Abklärungen im Zusammenhang mit den gesundheitlichen Problemen der Beschwerdeführerin keine neuen entscheidwesentlichen Erkenntnisse zu Tage fördern würden. Die in der Beschwerde diesbezüglich formulierten verfahrensrechtlichen Anträge sind deshalb abzuweisen.</w:t>
      </w:r>
    </w:p>
    <w:p>
      <w:r>
        <w:rPr>
          <w:b/>
        </w:rPr>
        <w:t>E. 8.4.2</w:t>
      </w:r>
    </w:p>
    <w:p>
      <w:r>
        <w:t>Der Beschwerdeführerin, die bis zu ihrer Ausreise am 20. Juni 2010 in Kamerun gelebt hat, ist es ferner zuzumuten, dort wieder eine Lebensexistenz aufzubauen. Dabei kann sie in ihrer Heimatstadt Yaoundé auf ein Beziehungsnetz zurückgreifen, leben doch dort ihre Mutter, ihr Sohn sowie zwei ihrer Geschwister (vgl. act. A8 S. 6 Ziff. 11 i.V.m. S. 7 Ziff. 12). Ausserdem verfügt sie mit einer abgeschlossenen Matura über eine gute Schulbildung (vgl. act. A8 S. 2 unten).</w:t>
      </w:r>
    </w:p>
    <w:p>
      <w:r>
        <w:rPr>
          <w:b/>
        </w:rPr>
        <w:t>E. 8.4.3</w:t>
      </w:r>
    </w:p>
    <w:p>
      <w:r>
        <w:t>Nach dem Gesagten erweist sich der Vollzug der Wegweisung auch als zumutbar.</w:t>
      </w:r>
    </w:p>
    <w:p>
      <w:r>
        <w:rPr>
          <w:b/>
        </w:rPr>
        <w:t>E. 8.5</w:t>
      </w:r>
    </w:p>
    <w:p>
      <w:r>
        <w:t>Die Beschwerdeführerin hat den Asylbehörden eine gültige Identitätskarte und einen gültigen Reisepass zu den Akten gereicht (Art. 8 Abs. 4 AsylG), weshalb der Vollzug der Wegweisung auch als möglich zu bezeichnen ist (Art. 83 Abs. 2 AuG).</w:t>
      </w:r>
    </w:p>
    <w:p>
      <w:r>
        <w:rPr>
          <w:b/>
        </w:rPr>
        <w:t>E. 9</w:t>
      </w:r>
    </w:p>
    <w:p>
      <w:r>
        <w:t>Zusammenfassend ergibt sich, dass das BFM den Vollzug der Wegweisung zu Recht als zulässig, zumutbar und möglich erachtet hat. Die Anordnung der vorläufigen Aufnahme fällt demnach nicht in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Da sich die Rechtsbegehren - wie aus den vorstehenden Erwägungen ersichtlich - als aussichtslos erwiesen haben, ist das Gesuch um Gewährung der unentgeltlichen Rechtspflege im Sinne von Art. 65 Abs. 1 VwVG abzuweisen. Bei diesem Ausgang des Verfahrens sind die Kosten der Beschwerdeführerin aufzuerlegen (Art. 63 Abs. 1 und 5 VwVG) und auf insgesamt Fr. 600.-- festzusetzen (Art. 1-3 des Reglements vom 21. Februar 2008 über die Kosten und Entschädigungen vor dem Bundesverwaltungsgericht [VGKE, SR 173.320.2]). Der Antrag, auf die Erhebung eines Verfahrenskostenvorschusses zu verzichten, ist mit vorliegendem Endentscheid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