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D-5161/2014 vom 10. Oktober 2014</w:t>
      </w:r>
    </w:p>
    <w:p>
      <w:r>
        <w:t>Bundesverwaltungsgericht, 2014-10-10, DE</w:t>
      </w:r>
    </w:p>
    <w:p>
      <w:r>
        <w:rPr>
          <w:b/>
        </w:rPr>
        <w:t xml:space="preserve">Quelle: </w:t>
      </w:r>
      <w:r>
        <w:t>https://mcp.opencaselaw.ch/entscheid/bvger_D-5161_2014</w:t>
      </w:r>
    </w:p>
    <w:p>
      <w:r>
        <w:t>FR: TAF D-5161/2014 du 10 octobre 2014</w:t>
      </w:r>
    </w:p>
    <w:p>
      <w:r>
        <w:t>IT: TAF D-5161/2014 del 10 ottobre 2014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Bei der Zwischenverfügung vom 20. August 2014 handelt es sich um eine Zwischenverfügung, die nur mit dem Endentscheid angefochten werden kann. Auch diesbezüglich sind demnach die entsprechenden Anforderungen erfüllt.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 Der Untersuchungsgrundsatz hat zur Folge, dass das BFM zur richtigen und vollständigen Ermittlung und Feststellung des rechtserheblichen Sach­verhalts verpflichtet ist und auch nach allen Elementen zu forschen hat, die zugunsten der asylsuchenden Person sprechen. 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4.1</w:t>
      </w:r>
    </w:p>
    <w:p>
      <w:r>
        <w:t>Es trifft zwar zu, dass die Hilfswerkvertretung bei der Anhörung des Be­schwerdeführers erst 50 Minuten nach Beginn der Anhörung vor Ort war. In der Folge hatte sie aber immer wieder Gelegenheit sich einzubrin­gen, und gab wiederholt zu erkennen, dass sie keine weiteren Fragen mehr habe (A 18/20 Antworten 75, 137 ff., 152, und 158 f.). Ferner bestä­tigte der Beschwerdeführer am Schluss der Anhörung die Korrektheit des rückübersetzten Protokolls. Entsprechend ist nicht davon auszugehen, dass ihm durch das verspätete Erscheinen der Hilfswerkvertretung ein rele­vanter Nachteil entstanden ist. Auch im Übrigen entfaltet die Anhörung volle Rechtswirkung, selbst wenn die Hilfswerkvertretung trotz Einladung gar nicht erscheint (vgl. Art. 25 Abs. 2 AsylVO1) Im Weiteren erscheint die Vorgehens­weise der Befragungsperson anlässlich der Anhörung (Unterbrechen des Beschwerdeführers bei Schilderungen der allgemeinen Lage in der Uk­raine) als zulässig, ging es doch primär darum, seine persönliche Betroffen­heit zu eruieren (A 18/20 Antworten 80 ff.).</w:t>
      </w:r>
    </w:p>
    <w:p>
      <w:r>
        <w:rPr>
          <w:b/>
        </w:rPr>
        <w:t>E. 4.2</w:t>
      </w:r>
    </w:p>
    <w:p>
      <w:r>
        <w:t>Soweit der Beschwerdeführer in der Zuweisung der Transitzone des Flughafens als Aufenthaltsort - im Rahmen der noch möglichen Rü­gen ge­mäss Art. 22 Abs. 3 und 4 AsylG - eine Gehörsverletzung erbli­ckt, muss ihm widersprochen werden. Bereits in der Zwischenverfü­gung des Ge­richts vom 18. September 2014 wurde auf die Gesetzeskonfor­mität die­ses Aufenthalts bis zu 60 Tagen hingewiesen. In der detaillierten vorins­tanzlichen Vernehmlassung vom 30. September 2014 im Verfahren D-5153/2014 wurde aufgezeigt, dass der dortige Aufenthalt der Stellung ei­ner in die Schweiz eingereisten asylsuchenden Person nahe kommt (vgl. Bst. I. im entsprechenden Urteil heutigen Datums). Als unangenehm wurde verständlicherweise empfunden, dass die elektronischen Geräte sichergestellt worden waren. Die Geräte wurden jedoch nach einigen Tagen mit Abschluss des vorinstanzlichen Verfahrens wieder ausgehändigt, weshalb nicht von einem übermässigen oder unverhältnismässigen Vorgehen gesprochen werden kann. Schliesslich ist festzuhalten, dass Kommunikationsmöglichkeiten zur Verfügung gestellt wurden und dem Beschwerdeführer wohl auch Adressen von Rechtsberatungsstellen, die für ihn angesichts seines familiären Hintergrundes offensichtlich erschwinglich gewesen wären, zugänglich gemacht worden sind (vgl. Art. 7 Verordnung des EJPD über den Betrieb von Unterkünften des Bundes im Asylbereich [SR 142.311.23]). Dem Beschwerdeführer ist es denn auch offensichtlich gelungen, selbständig eine Vertretung zu organisieren. Die Rüge des Be­schwerdeführers, er sei einem unfairen Verfahren ausgesetzt gewe­sen, greift mit­hin ins Leere.</w:t>
      </w:r>
    </w:p>
    <w:p>
      <w:r>
        <w:rPr>
          <w:b/>
        </w:rPr>
        <w:t>E. 4.3</w:t>
      </w:r>
    </w:p>
    <w:p>
      <w:r>
        <w:t>Im Weiteren wurde bereits mit Zwischenverfügung des Gerichts vom 18. Septem­ber 2014 die Einsicht in die Akte A 8 abgewiesen und das BFM aufgefordert, Einsicht in die Beweismittel samt Beweismittelverzeich­nis zu gewähren. Dieser Aufforderung ist das BFM am 19. September 2014 nachgekommen und der Beschwerdeführer hat sich mit Eingabe vom 20. September 2014 ergänzend dazu geäussert.</w:t>
      </w:r>
    </w:p>
    <w:p>
      <w:r>
        <w:rPr>
          <w:b/>
        </w:rPr>
        <w:t>E. 4.4</w:t>
      </w:r>
    </w:p>
    <w:p>
      <w:r>
        <w:t>Hingegen ist die Rüge bezüglich der Zwischenverfügung des BFM vom 20. August 2014 betreffend Akteneinsicht teilweise zu bestätigen. Das BFM hat es zu Unrecht verweigert, in die Zuweisungsverfügung des BFM vom 16. August 2014 und die eingereichten Beweismittel die Einsicht zu geben. Gemäss Art. 27 Abs. 3 VwVG sind entsprechende Akten jederzeit zugänglich zu machen. Insofern hat das BFM mit Zwischenverfügung vom 20. August 2014 das rechtliche Gehör des Beschwerdeführers verletzt. Die Rechtsprechung hat aber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2007/30 E. 8.2 m.w.H.). Diese Voraussetzungen sind als erfüllt zu erachten. So kam die Vorinstanz der Anweisung des Gerichts nach und gewährte am 19. September 2014 Akteneinsicht. Zudem gab das BFM dem Rechtsvertreter Gelegen­heit, die Akten vor Ort einzuse­hen. Der geheilten Gehörsverletzung ist jedoch im Rahmen der Kostenfolge gebührend Rechnung zu tragen. Im Weiteren be­steht entgegen den Beschwerdevorbringen kein Grund, die Praxis des BFM zu Art. 27 Abs. 3 VwVG (Edition von Befra­gungsprotokollen erst nach abgeschlossener Untersuchung) in Frage zu stellen, da dabei regel­mässig Gründe im Sinne von Art. 27 Abs. 1 VwVG zu erkennen sind. Schliesslich erübrigt sich der beantragte zweite Schriften­wechsel, da im Rahmen des ersten nach gewährter Aktenein­sicht das Replikrecht einge­räumt wurde.</w:t>
      </w:r>
    </w:p>
    <w:p>
      <w:r>
        <w:rPr>
          <w:b/>
        </w:rPr>
        <w:t>E. 4.5</w:t>
      </w:r>
    </w:p>
    <w:p>
      <w:r>
        <w:t>Die weiteren Rüge des Beschwerdeführers, die Vorinstanz habe sich zu wenig mit den Berichten einer NGO auseinandergesetzt be­ziehungs­weise sie gehe von einem unvollständigen und unzutreffen­den Sachver­halt aus, treffen ebenfalls nicht zu. So wurden namentlich der direkt betroffe­nen Mutter des Beschwerdeführers bei der Anhörung wiederholt Fra­gen zur besagten Gruppierung gestellt, und die vorgebrachte Gefähr­dungslage wurde auch im hier angefochtenen Entscheid (im Sinne einer nicht bestehenden Gefahr von Reflexverfolgung) gewürdigt. Auch die gel­tend gemachte Gefährdung wegen der Tätigkeit für die erwähnte Bank ist vom BFM adäquat berücksichtigt worden.</w:t>
      </w:r>
    </w:p>
    <w:p>
      <w:r>
        <w:rPr>
          <w:b/>
        </w:rPr>
        <w:t>E. 4.6</w:t>
      </w:r>
    </w:p>
    <w:p>
      <w:r>
        <w:t>Die beantragte Kassation wegen Verfahrensmängel kommt mithin nicht in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fürchtet sich vor einer Reflexverfolgung wegen der insbesondere gegen seine Mutter gerichteten Behelligungen durch eine von F._______ dominierte mafiöse Organisation. Im Verfahren seiner El­tern, welches mit Urteil heutigen Datums ebenfalls negativ entschieden wird, hält das Gericht fest, die angeblich auch noch aktuell drohende Verfol­gung durch die Organisation sei nicht glaubhaft (E. 6). Substanzi­ierte Aussagen, welche dieser Einschätzung entgegenstehen würden, fin­den sich entgegen den Rekursvorbringen auch in den Akten des Beschwer­deführers nicht. So sind seine Angaben zu politischen Belangen vor Ort und zu den seiner Mutter widerfahrenen Behelligungen dürftig aus­gefallen. Insbesondere vermochte auch er nicht darzulegen, weshalb die Mutter aktuell nach wie vor im Fokus von F._______ stehen sollte (A 18/20 Antworten 86 ff. und 132 ff.). Demzufolge ist auch für ihn keine relevante diesbezügliche Gefährdung ersichtlich. Die von ihm diesbezüglich einge­reichten Beweismittel sind - wie im Urteil seiner Eltern ausgeführt - nicht hin­reichend beweistauglich.</w:t>
      </w:r>
    </w:p>
    <w:p>
      <w:r>
        <w:rPr>
          <w:b/>
        </w:rPr>
        <w:t>E. 6.2</w:t>
      </w:r>
    </w:p>
    <w:p>
      <w:r>
        <w:t>Behelligungen wegen seiner Arbeit bei der Bank durch prorussische Schergen sind beim Beschwerdeführer zwar nicht auszuschliessen. Die Schilderung des einzigen ihn konkret betreffenden Vorfalls eine Woche vor der Ausreise muss indes als ausgesprochen stereotyp bezeichnet wer­den. Sie weist keine Realkennzeichen auf und vermittelt nicht den Ein­druck von einem tatsächlich erfolgten Angriff (A 18/20 Antworten 38 ff.). Entgegen den Beschwerdevorbringen sind so die Voraussetzungen der Glaubhaftigkeit nicht erfüllt. Unbesehen dieser Sachlage weist das BFM zudem zu Recht auf die fragliche Asylrelevanz eines solchen Vor­falls hin. Die weitere Befürchtung des Beschwerdeführers, wegen der Roma-Abstammung behelligt zu werden, ist zwar subjektiv nach­vollzieh­bar. Hinweise für eine diesbezüglich konkret drohende Ge­fahr können den Akten indes auch bei ihm nicht entnommen werden. Schliesslich er­wähnte er den angeblichen Vorfall vom (...) November 2013 erst auf Be­schwerdeebene. Unbese­hen dieser Sachlage ist dieses Ereignis neun Mo­nate vor der Aus­reise wiederum nicht als fluchtrelevant zu qualifizie­ren, zumal eine andauernde Verfol­gungssituation im Zusammenhang mit F._______ für den Zeitpunkt der Ausreise ja verneint wurde.</w:t>
      </w:r>
    </w:p>
    <w:p>
      <w:r>
        <w:rPr>
          <w:b/>
        </w:rPr>
        <w:t>E. 6.3.1</w:t>
      </w:r>
    </w:p>
    <w:p>
      <w:r>
        <w:t>Nebst den bereits erwähnten Verfolgungsgründen befürchtet der Be­schwerdeführer den Einzug in die Armee. In diesem Zusammenhang macht er geltend, gemäss der Vorladung der Staatsanwaltschaft E._______ sei er für den (...) August 2014 vorgeladen wor­den, um sein Nichterscheinen an der sogenannten (...) zu rechtfertigen. Diese habe insbesondere im Zusammenhang mit dem Gesetz der "teilweisen Mobilisierung" stattgefunden. Die ferner eingereichte Notiz besage, dass er aufgefordert worden sei, am (...) Juli 2014 mit diversen Unterlagen bei der zuständigen Militärabteilung zu er­scheinen.</w:t>
      </w:r>
    </w:p>
    <w:p>
      <w:r>
        <w:rPr>
          <w:b/>
        </w:rPr>
        <w:t>E. 6.3.2</w:t>
      </w:r>
    </w:p>
    <w:p>
      <w:r>
        <w:t>Die Vorinstanz hält in diesem Zusammenhang zu Recht fest, den ein­gereichten Dokumenten komme - falls es sich um Kopien handle - auf­grund von Manipulationsmöglichkeiten ein geringer Beweiswert zu. In der Beschwerde werde nicht erklärt, unter welchen Umständen der Be­schwerdeführer sie habe beschaffen können. Darüber hinaus falle auf, dass die beiden Vorladungen bei der Anhörung nicht erwähnt worden seien. Die vom BFM thematisierte abschliessende Beurteilung der Doku­mente kann unterbleiben. So ist es das legitime Recht eines Staates, seine Bürger zum Militär­dienst einzuberufen. Dass die allfällige militäri­sche Inpflichtnahme in der Uk­raine beim Beschwerdeführer aus asylrele­vanten Motiven erfolgen würde, kann den Akten nicht entnommen wer­den. Es wäre auch in keiner Weise offenkundig, dass er bei einem Kampfeinsatz im Osten an der Front eingesetzt würde. Allfällige strafrechtli­che oder disziplinari­sche Mass­nahmen bei Pflichtverletzungen im Zusammenhang mit der Mili­tär­dienstpflicht wären daher grundsätzlich nicht als politisch beziehungsweise religiös motivierte oder menschenrechts­widrige Verfolgungsmassnahmen zu betrachten, sollte er entgegen der vorinstanzlichen Sichtweise tatsächlich einberufen werden.</w:t>
      </w:r>
    </w:p>
    <w:p>
      <w:r>
        <w:rPr>
          <w:b/>
        </w:rPr>
        <w:t>E. 7</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den Eingaben mangels Stich­haltig­keit nichts zu ändern. Auch die Beweismittel rechtfertigen nach dem Gesag­ten keine andere Einschätzung.</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Ukraine lässt den Wegwei­sungsvollzug zum heutigen Zeitpunkt nicht landesweit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Bundesverwaltungsgericht geht davon aus, dass die all­ge­mei­ne Lage in der Ukraine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9.4.2</w:t>
      </w:r>
    </w:p>
    <w:p>
      <w:r>
        <w:t>Der Beschwerdeführer stammt aus C._______ und mithin nicht aus dem Osten des Landes, wo erneut Kampfhandlungen stattfinden. Seine Fa­milie verfügt offenbar nach wie vor über Vermögen und soziale Bezugs­punk­te vor Ort. Er ist gut ausgebildet und verfügt über Berufserfah­rung. Es ist entsprechend nicht davon aus­zugehen, dass er nach seiner Rückkehr in die Ukraine dort in eine exis­tenzgefähr­dende Situa­tion gerät. Zudem ist ihm unbenommen, im Sinne einer inner­staatli­chen Aufenthaltsalternative beispielsweise in G._______ Wohnsitz zu nehmen. Anzufügen ist, dass die von den Eltern des Beschwerdeführers gel­tend ge­machte Gefährdung in Georgien - woher sein Stiefvater stammt - we­gen kaukasischer Banditen nicht hinreichend konkret auf entspre­chende Nachteile hinweist. Ent­sprechend könnte der Beschwerdeführer al­lenfalls auch dort zusammen mit den Angehörigen Wohnsitz nehmen.</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vom 20. August 2014 Bundesrecht teilweise verletzte. Die entsprechende Gehörsverletzung konnte jedoch auf Beschwerdeebene geheilt werden. Die angefochtene Verfügung vom 4. September 2014 verletzt Bun­desrecht nicht und stellt den rechtserheblichen Sachverhalt richtig sowie vollständig fest (Art. 106 Abs. 1 AsylG). Die Beschwerde ist in diesem Sinne ab­zuweisen.</w:t>
      </w:r>
    </w:p>
    <w:p>
      <w:r>
        <w:rPr>
          <w:b/>
        </w:rPr>
        <w:t>E. 11.1</w:t>
      </w:r>
    </w:p>
    <w:p>
      <w:r>
        <w:t>Bei diesem Ausgang des Verfahrens sind die reduzierten Kosten dem Beschwerde­füh­rer aufzuerlegen (Art. 63 Abs. 1 VwVG) und auf insge­samt Fr. 300.- fest­zusetzen (Art. 1-3 VGKE [SR 173.320.2]).</w:t>
      </w:r>
    </w:p>
    <w:p>
      <w:r>
        <w:rPr>
          <w:b/>
        </w:rPr>
        <w:t>E. 11.2</w:t>
      </w:r>
    </w:p>
    <w:p>
      <w:r>
        <w:t>Sodann ist bezüglich der Akteneinsicht vom partiellen Obsiegen des Beschwerdeführers auszugehen, weshalb ihm eine entsprechend reduzierte Parteientschädigung für die ihm erwachsenen notwendigen und verhältnismässig hohen Kosten zuzusprechen ist (Art. 64 Abs. 1 VwVG i.V.m. Art. 7 ff. VGKE). Der Beschwerdeführer hat keine Kostennote eingereicht. Auf die Nachforderung einer solchen kann jedoch verzichtet werden, zumal der entsprechende Aufwand hinreichend zuverlässig abgeschätzt werden kann. Unter Berücksichtigung der massgebenden Berechnungsfaktoren hat die Vorinstanz eine Parteientschädigung von Fr. 300.-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