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D-5154/2007 vom 19. Februar 2010</w:t>
      </w:r>
    </w:p>
    <w:p>
      <w:r>
        <w:t>Bundesverwaltungsgericht, 2010-02-19, DE</w:t>
      </w:r>
    </w:p>
    <w:p>
      <w:r>
        <w:rPr>
          <w:b/>
        </w:rPr>
        <w:t xml:space="preserve">Quelle: </w:t>
      </w:r>
      <w:r>
        <w:t>https://mcp.opencaselaw.ch/entscheid/bvger_D-5154_2007</w:t>
      </w:r>
    </w:p>
    <w:p>
      <w:r>
        <w:t>FR: TAF D-5154/2007 du 19 février 2010</w:t>
      </w:r>
    </w:p>
    <w:p>
      <w:r>
        <w:t>IT: TAF D-5154/2007 del 19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Das BFM verneinte die Flüchtlingseigenschaft des Beschwerdeführers, lehnte sein Asylgesuch ab und wies ihn aus der Schweiz weg. Der Beschwerdeführer beantragte in seiner Beschwerde die Aufhebung der Verfügung betreffend die Wegweisung und den Wegweisungsvollzug (Ziffern 3, 4 und 5 des Dispositivs). Die Verneinung der Flüchtlingseigenschaft und die Ablehnung des Asylgesuchs blieben vorliegend somit unangefochten und sind mit Ablauf der Beschwerdefrist in Rechtskraft erwachsen. Insoweit sich die Beschwerde gegen die Wegweisung als solche (Ziffer 3 des Dispositivs der angefochtenen Verfügung) richtet, ist festzuhalten, dass die Wegweisung als solche praxisgemäss nur dann aufgehoben werden kann, wenn eine Aufenthaltsbewilligung vorliegt oder ein Anspruch auf Erteilung einer solchen besteht (vgl. EMARK 2001 Nr. 21), was vorliegend, wie bereits mit Zwischenverfügung vom 15. August 2007 festgestellt wurde, jedoch nicht der Fall ist. Gegenstand des vorliegenden Beschwerdeverfahrens bildet somit einzig die Frage, ob die Wegweisung zu vollziehen ist oder ob anstelle des Vollzugs eine vorläufige Aufnahme anzuordnen ist (Art. 44 AsylG i.V.m. Art. 83 AuG).</w:t>
      </w:r>
    </w:p>
    <w:p>
      <w:r>
        <w:rPr>
          <w:b/>
        </w:rPr>
        <w:t>E. 3.1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3.2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EMARK 2006 Nr. 6).</w:t>
      </w:r>
    </w:p>
    <w:p>
      <w:r>
        <w:rPr>
          <w:b/>
        </w:rPr>
        <w:t>E. 3.3</w:t>
      </w:r>
    </w:p>
    <w:p>
      <w:r>
        <w:t>Weil sich vorliegend der Vollzug der Wegweisung - aus den nachfolgend aufgezeigten Gründen - als unzumutbar erweist, ist auf eine Erörterung der beiden andern Voraussetzungen eines rechtmässigen Wegweisungsvollzugs zu verzichten.</w:t>
      </w:r>
    </w:p>
    <w:p>
      <w:r>
        <w:rPr>
          <w:b/>
        </w:rPr>
        <w:t>E. 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4.1.1</w:t>
      </w:r>
    </w:p>
    <w:p>
      <w:r>
        <w:t>In ihrer vorliegend zu berücksichtigenden Rechtsprechung hatte sich die ARK in EMARK 2003 Nr. 10 eingehend zur Lage in Afghanistan geäussert und die Unterschiede zwischen der Stadt Kabul und anderen Regionen Afghanistans dargestellt. Infolge der vergleichsweise günstigeren Situation hatte sie den Wegweisungsvollzug nach Kabul unter bestimmten strengen Voraussetzungen, insbesondere einem tragfähigen Beziehungsnetz, der Möglichkeit der Sicherung des Existenzminimums und einer gesicherten Wohnsituation, als zumutbar erachtet. In EMARK 2006 Nr. 9 bestätigte und ergänzte die ARK ihre Rechtsprechung aus dem Jahr 2003. Zusätzlich zu Kabul erachtete sie den Wegweisungsvollzug in jene Regionen Afghanistans als grundsätzlich zumutbar, in welchen seit 2004 keine signifikanten militärischen Aktionen stattgefunden haben oder die keiner dauernden Unsicherheit ausgesetzt sind. Der Wegweisungsvollzug ist demgemäss zusätzlich zu Kabul in weitere, abschliessend aufgezählte Provinzen (Parwan, Baghlan, Takhar, Badakhshan, Kunduz, Balkh, Sari Pul, Herat und die Gegend von Samangan, die nicht zum Hazarajat zu zählen ist) unter den in EMARK 2003 Nr. 10 aufgeführten strengen Bedingungen zumutbar. In den übrigen östlichen, südlichen und südöstlichen Provinzen besteht hingegen weiterhin eine allgemeine Gewaltsituation, weshalb der Wegweisungsvollzug dorthin nach wie vor als unzumutbar zu betrachten sei (vgl. EMARK 2006 Nr. 9 E. 7.5.3 und 7.8). Eine Rückkehr in die Provinz H._______ erachtete die ARK, unabhängig von individuellen Umständen wie beispielsweise gesundheitlichen Beschwerden oder einem fehlenden Beziehungsnetz, als existenzbedrohend und damit als unzumutbar. Das Bundesverwaltungsgericht sieht in Berücksichtigung der jüngsten Entwicklung in Afghanistan (vgl. hierzu etwa die Urteile des Bundesverwaltungsgerichts E-5519/2006 vom 25. November 2009, D-4664/2006 vom 17. Juli 2009 und D-4270/2006 vom 25. Juni 2009) keine Veranlassung, von dieser Lageeinschätzung in Bezug auf die erwähnten übrigen Provinzen abzuweichen.</w:t>
      </w:r>
    </w:p>
    <w:p>
      <w:r>
        <w:rPr>
          <w:b/>
        </w:rPr>
        <w:t>E. 4.1.2</w:t>
      </w:r>
    </w:p>
    <w:p>
      <w:r>
        <w:t>Von der Vorinstanz wurde nicht in Zweifel gezogen, dass der Beschwerdeführer der Ethnie der F._______ angehört und sein Herkunftsort in der Provinz H._______ liegt. Im Weiteren kann die Lageanalyse und Praxis der ARK in EMARK 2003 Nr. 10 und 2006 Nr. 9 insbesondere bezüglich der als unzumutbar bezeichneten Gebiete heute nach wie vor als gültig angesehen werden (vgl. hierzu auch die in E. 4.1.1 erwähnten Urteile des Bundesverwaltungsgerichts). Der Herkunftsort des Beschwerdeführers befindet sich nach dem Gesagten nicht in einer der in EMARK 2006 Nr. 9 abschliessend aufgeführten Provinzen, in welche - neben Kabul - der Wegweisungsvollzug unter strengen Bedingungen als zumutbar erachtet wird. Der Wegweisungsvollzug des Beschwerdeführers in sein Herkunftsgebiet muss demnach als unzumutbar qualifiziert werden. An dieser Einschätzung vermag auch der Einwand der Vorinstanz nichts zu ändern, in Afghanistan könne nicht von einer landesweiten Situation allgemeiner Gewalt gesprochen werden. Hierzu ist festzuhalten, dass das BFM weder in der angefochtenen Verfügung noch in der Vernehmlassung offen legt, gestützt auf welche Quellen oder Experten es zu seiner Schlussfolgerung gelangte, der Wegweisungsvollzug sei vorliegend zumutbar. Demgegenüber stützte sich die ARK bei ihrer Beurteilung der Lage in Afghanistan auf zahlreiche, öffentlich zugängliche Quellen (vgl. EMARK 2006 Nr. 9 E. 7.3 S. 98).</w:t>
      </w:r>
    </w:p>
    <w:p>
      <w:r>
        <w:rPr>
          <w:b/>
        </w:rPr>
        <w:t>E. 4.1.3</w:t>
      </w:r>
    </w:p>
    <w:p>
      <w:r>
        <w:t>Es stellt sich die Frage, ob dem Beschwerdeführer allenfalls eine Aufenthaltsalternative in einem anderen Landesteil Afghanistans zur Verfügung steht. Die Bejahung einer zumutbaren innerstaatlichen Aufenthaltsalternative eines aus der Provinz H._______ stammenden Asylsuchenden in Kabul oder in einer anderen Provinz, in der die allgemeine Situation eine Rückkehr unter bestimmten Umständen als zumutbar erscheinen liesse (vgl. EMARK 2006 Nr. 9), setzt insbesondere die dortige Existenz eines tragfähigen Beziehungsnetzes sowie eine gesicherte Wohnsituation in dieser Region voraus. Bei der Beurteilung der individuellen Zumutbarkeitskriterien ist eine differenzierte Beurteilung angezeigt (vgl. EMARK 2003 Nr. 30 E. 7.b S. 193 f.). Der Beschwerdeführer ist jung und - soweit aktenkundig - bei guter Gesundheit. Er verfügt über eine gewisse Schulbildung und einige Berufserfahrung. Aufgrund der Aktenlage ist jedoch nicht davon auszugehen, dass er in Kabul oder in einer der in EMARK 2006 Nr. 9 abschliessend aufgelisteten Provinzen über eine gesicherte Wohnsituation und ein tragfähiges Beziehungsnetz verfügt. Das BFM hält dem Beschwerdeführer in der angefochtenen Verfügung vor, es sei angesichts seiner höchst unsubstanziierten Angaben zur politischen Situation in seiner Herkunftsregion ohnehin davon auszugehen, dass er sich in Wirklichkeit länger als behauptet an einem anderen, sicheren Ort aufgehalten habe, an welchen er sich auch nach seiner Rückkehr wieder begeben könne. Dies ist indessen nicht erstellt. Es sind keinerlei Bezugspunkte des Beschwerdeführers zum Grossraum Kabul oder einer der genannten Provinzen ersichtlich. Aufgrund der Aktenlage kann nicht ernsthaft davon ausgegangen werden, dass mutmasslich irgendwo im Land lebende weitere Verwandte dem Beschwerdeführer eine gesicherte Existenzgrundlage bieten könnten. Mithin fehlen die entscheidenden Zumutbarkeitsfaktoren für die Annahme, der Beschwerdeführer könne sich im Grossraum Kabul oder einer der anderen genannten Provinzen eine Existenzgrundlage aufbauen.</w:t>
      </w:r>
    </w:p>
    <w:p>
      <w:r>
        <w:rPr>
          <w:b/>
        </w:rPr>
        <w:t>E. 4.2</w:t>
      </w:r>
    </w:p>
    <w:p>
      <w:r>
        <w:t>Angesichts der gesamten Umstände ist der Vollzug der Wegweisung - der bisherigen Praxis entsprechend - als unzumutbar zu bezeichnen. Die Voraussetzungen für die Gewährung der vorläufigen Aufnahme sind demnach erfüllt. Einer vorläufigen Aufnahme stehen im Übrigen auch keine einschränkenden gesetzlichen Tatbestände (Art. 83 Abs. 7 AuG) entgegen.</w:t>
      </w:r>
    </w:p>
    <w:p>
      <w:r>
        <w:rPr>
          <w:b/>
        </w:rPr>
        <w:t>E. 5</w:t>
      </w:r>
    </w:p>
    <w:p>
      <w:r>
        <w:t>Bei diesem Ausgang des Verfahrens sind keine Kosten zu erheben (Art. 63 Abs. 1 VwVG). Das in der Beschwerdeeingabe gestellte Gesuch um Gewährung der unentgeltlichen Rechtspflege ist daher gegenstandslos.</w:t>
      </w:r>
    </w:p>
    <w:p>
      <w:r>
        <w:rPr>
          <w:b/>
        </w:rPr>
        <w:t>E. 6</w:t>
      </w:r>
    </w:p>
    <w:p>
      <w:r>
        <w:t>Die Beschwerdeinstanz kann der ganz oder teilweise obsiegenden Partei von Amtes wegen oder auf Begehren eine Entschädigung für ihr erwachsene notwendige und verhältnismässig hohe Kosten zusprechen (Art. 64 Abs. 1 VwVG; Art. 7 ff. des Reglements vom 21. Februar 2008 über die Kosten und Entschädigungen vor dem Bundesverwaltungsgericht [VGKE, SR 173.320.2]). Der Beschwerdeführer ist zwar vertreten, doch ist zu berücksichtigen, dass er selbständig eine Beschwerde einreichte und sich die Eingabe seiner Rechtsvertreterin vom 10. April 2009 nicht als notwendig erwies (vgl. oben Bst. F, G und H), weshalb keine Parteientschädigung zu entrichten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