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D-5153/2014 vom 10. Oktober 2014</w:t>
      </w:r>
    </w:p>
    <w:p>
      <w:r>
        <w:t>Bundesverwaltungsgericht, 2014-10-10, DE</w:t>
      </w:r>
    </w:p>
    <w:p>
      <w:r>
        <w:rPr>
          <w:b/>
        </w:rPr>
        <w:t xml:space="preserve">Quelle: </w:t>
      </w:r>
      <w:r>
        <w:t>https://mcp.opencaselaw.ch/entscheid/bvger_D-5153_2014</w:t>
      </w:r>
    </w:p>
    <w:p>
      <w:r>
        <w:t>FR: TAF D-5153/2014 du 10 octobre 2014</w:t>
      </w:r>
    </w:p>
    <w:p>
      <w:r>
        <w:t>IT: TAF D-5153/2014 del 10 ottobre 2014</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Bei der Zwischenverfügung vom 20. August 2014 handelt es sich um eine Zwischenverfügung, die nur mit dem Endentscheid angefochten werden kann. Auch diesbezüglich sind die entsprechenden Anforderungen demnach erfüllt.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(BVGE 2009/50 E. 10.2 S. 734 ff., BVGE 2008/24 E. 7.2 S. 356 f). Der Untersuchungsgrundsatz hat zur Folge, dass das BFM zur richtigen und vollständigen Ermittlung und Feststellung des rechtserheblichen Sach­verhalts verpflichtet ist und auch nach allen Elementen zu forschen hat, die zugunsten der asylsuchenden Person sprechen. 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4</w:t>
      </w:r>
    </w:p>
    <w:p>
      <w:r>
        <w:t>Der angefochtene Entscheid des BFM vom 5. September 2014 und die nicht angefochtenen Zuweisungsverfügungen vom 17. August 2014 wer­den den genannten Kriterien in der erforderlichen Weise gerecht.</w:t>
      </w:r>
    </w:p>
    <w:p>
      <w:r>
        <w:rPr>
          <w:b/>
        </w:rPr>
        <w:t>E. 4.1</w:t>
      </w:r>
    </w:p>
    <w:p>
      <w:r>
        <w:t>Soweit die Beschwerdeführenden in der Zuweisung der Transitzone des Flughafens als Aufenthaltsort - im Rahmen der noch möglichen Rü­gen gemäss Art. 22 Abs. 3 und 4 AsylG - eine Gehörsverletzung erbli­cken, muss ihnen widersprochen werden. Bereits in der Zwischenverfü­gung des Gerichts vom 18. September 2014 wurde auf die Gesetzeskonfor­mität dieses Aufenthalts bis zu 60 Tagen hingewiesen. In der detaillierten vorinstanzlichen Vernehmlassung vom 30. September 2014 wurde aufgezeigt, dass der dortige Aufenthalt der Stellung einer in die Schweiz eingereisten asylsuchenden Person nahe kommt (vgl. Bst. H. vorstehend). Als unangenehm wurde verständlicherweise empfunden, dass die elektronischen Geräte sichergestellt worden waren. Die Geräte wurden jedoch nach einigen Tagen mit Abschluss des vorinstanzlichen Verfahrens wieder ausgehändigt, weshalb nicht von einem übermässigen oder unverhältnismässigen Vorgehen gesprochen werden kann. Anzufügen ist sodann, dass die Beschwerdeführerin und Mutter wäh­rend des dortigen Aufenthalts beziehungsweise auch während der Anhö­rung wiederholt auf die Möglichkeit medizinischer Hilfe hingewiesen wurde, sie aber offenbar vorerst das erstinstanzliche Verfahren abschlies­sen wollte (A 25/26 Antworten 64 ff.). Schliesslich ist festzuhalten, dass Kommunikationsmöglichkeiten zur Verfügung gestellt wurden und den Beschwerdeführenden wohl auch Adressen von Rechtsberatungsstellen, die für die Beschwerdeführenden offensichtlich erschwinglich gewesen wären, zugänglich gemacht worden sind (vgl. Art. 7 Verordnung des EJPD über den Betrieb von Unterkünften des Bundes im Asylbereich [SR 142.311.23]). Den Beschwerdeführenden ist es dann auch offensichtlich gelungen, selbständig eine Vertretung zu organisieren. Die Rüge der Beschwerdeführen­den, sie seien einem unfairen Verfahren ausgesetzt gewesen, greift mit­hin ins Leere.</w:t>
      </w:r>
    </w:p>
    <w:p>
      <w:r>
        <w:rPr>
          <w:b/>
        </w:rPr>
        <w:t>E. 4.2</w:t>
      </w:r>
    </w:p>
    <w:p>
      <w:r>
        <w:t>Im Weiteren wurde bereits mit Zwischenverfügung des Gerichts vom 18. Septem­ber 2014 die Einsicht in die Akten A 8, A 12, A 13 und A 24 abgewiesen. Auf die entsprechenden Begründungen kann verwiesen werden.</w:t>
      </w:r>
    </w:p>
    <w:p>
      <w:r>
        <w:rPr>
          <w:b/>
        </w:rPr>
        <w:t>E. 4.3</w:t>
      </w:r>
    </w:p>
    <w:p>
      <w:r>
        <w:t>Hingegen ist die Rüge bezüglich der Zwischenverfügung des BFM vom 20. August 2014 betreffend Akteneinsicht teilweise zu bestätigen. Das BFM hat es zu Unrecht verweigert, in die Zuweisungsverfügung des BFM vom 17. August 2014 und die eingereichten Beweismittel die Einsicht zu geben. Gemäss Art. 27 Abs. 3 VwVG sind entsprechende Akten jederzeit zugänglich zu machen. Insofern hat das BFM mit Zwischenverfügung vom 20. August 2014 das rechtliche Gehör des Beschwerdeführers verletzt. Die Rechtsprechung hat aber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2007/30 E. 8.2 m.w.H.). Diese Voraussetzungen sind als erfüllt zu erachten. So kam die Vorinstanz der Anweisung des Gerichts nach und gewährte am 19. September 2014 Akteneinsicht. Zudem gab das BFM dem Rechtsvertreter Gelegen­heit, die Akten vor Ort einzuse­hen und die Beschwerdeführenden liessen sich mit Eingabe vom 20. September 2014 ergänzend dazu vernehmen. Der geheilten Gehörsverletzung ist jedoch im Rahmen der Kostenfolge gebührend Rechnung zu tragen. Im Weiteren be­steht entgegen den Beschwerdevorbringen kein Grund, die Praxis des BFM zu Art. 27 Abs. 3 VwVG (Edition von Befra­gungsprotokollen erst nach abgeschlossener Untersuchung) in Frage zu stellen, da dabei regel­mässig Gründe im Sinne von Art. 27 Abs. 1 VwVG zu erkennen sind. Schliesslich erübrigt sich der beantragte zweite Schriften­wechsel, da im Rahmen des ersten nach gewährter Aktenein­sicht das Replikrecht einge­räumt wurde.</w:t>
      </w:r>
    </w:p>
    <w:p>
      <w:r>
        <w:rPr>
          <w:b/>
        </w:rPr>
        <w:t>E. 4.4</w:t>
      </w:r>
    </w:p>
    <w:p>
      <w:r>
        <w:t>Die weiteren Rügen der Beschwerdeführenden, die Vorinstanz habe sich zu wenig mit den Berichten der erwähnten NGO auseinandergesetzt be­ziehungsweise sie gehe von einem unvollständigen und unzutreffen­den Sachverhalt aus, treffen ebenfalls nicht zu. So wurden der Beschwerde­führerin bei der Anhörung wiederholt Fragen zur besagten Gruppierung gestellt, und die vorgebrachte Gefährdungslage wurde im Ent­scheid rechtsgenüglich gewürdigt. Dabei wurden auch die geltend ge­machten mafiösen Strukturen berücksichtigt.</w:t>
      </w:r>
    </w:p>
    <w:p>
      <w:r>
        <w:rPr>
          <w:b/>
        </w:rPr>
        <w:t>E. 4.5</w:t>
      </w:r>
    </w:p>
    <w:p>
      <w:r>
        <w:t>Die beantragte Kassation wegen Verfahrensmängel kommt mithin nicht in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hat die Aussagen der Beschwerdeführenden nicht generell für un­glaubhaft erachtet. Vielmehr ging die Vorinstanz davon aus, die geltend gemachte begründete Furcht vor weiteren Nachteilen im Zeitpunkt der Aus­reise sei nicht mehr gegeben gewesen. In diesem Zusammenhang wies sie auf den Regierungswechsel in der Ukraine und den Umstand, wo­nach die Beschwerdeführenden kein geeignetes Ziel mehr für die Berei­cherung mafiöser Organisationen gewesen seien, hin. Zweifel äus­serte die Vorinstanz an der geschilderten (zeitlichen) Vorgehensweise im Rahmen ihrer Hilfeersuchen an die Behörden. Demgegenüber halten die Be­schwerdeführenden an einer mafiösen Gefährdung fest.</w:t>
      </w:r>
    </w:p>
    <w:p>
      <w:r>
        <w:rPr>
          <w:b/>
        </w:rPr>
        <w:t>E. 6.2</w:t>
      </w:r>
    </w:p>
    <w:p>
      <w:r>
        <w:t>Im Sinne der Beschwerdevorbringen ist einzuräumen, dass allein durch den Machtwechsel in der Ukraine der Handlungsspielraum mafiö­ser Organisationen nicht zwingend kleiner geworden ist. Allerdings brach­ten die Beschwerdeführenden wiederholt vor, die sie bedrängende Organi­sation sei mit der Partei der Regionen in Verbindung gestanden. Sollte dem so gewesen sein, dürfte deren Aktionsradius aufgrund der neuen politischen Situation unter der Regierung von Poroschenko entge­gen den Beschwerdevorbringen zumindest ausserhalb des Ostens des Lan­des eingeschränkt worden sein. Im Weiteren ist - nicht nur in E._______ im Sinne des eingereichten UNHCR-Berichts oder generell in der Ukraine - staatlicher Schutz vor mafiösen Angriffen mitunter eingeschränkt und für die Betroffenen schwer erhältlich. Hingegen ist zu bezweifeln, dass die Be­schwerdeführenden im Sommer 2014 überhaupt noch auf solchen Schutz angewiesen waren.</w:t>
      </w:r>
    </w:p>
    <w:p>
      <w:r>
        <w:rPr>
          <w:b/>
        </w:rPr>
        <w:t>E. 6.3</w:t>
      </w:r>
    </w:p>
    <w:p>
      <w:r>
        <w:t>Die Beschwerdeführenden machen keinerlei politische Aktivitäten gel­tend. Auch eine Verfolgung wegen der ethnischen Zugehörigkeit der Be­schwerdeführerinnen stand offensichtlich nicht im Vordergrund. Nebst der europafreundlichen Rede der Beschwerdeführerin und Mutter bringen sie insbesondere vor, wegen ihres Reichtums durch die Organisation von I._______ drangsaliert worden zu sein. Insoweit ist fraglich, ob sie im Jahr 2013 überhaupt aus den im Asylgesetz abschliessend erwähnten Gründen behel­ligt wurden. Im Jahr 2014 seien sie erneut durch Angehörige der Orga­nisation gesucht worden. Sie hätten im Hotel einer Verwandten ge­wohnt und von besagter Suche durch andere Verwandte erfahren. In der Folge hätten sie sich persönlich und schriftlich an die Behörden (Polizei und Staatsanwaltschaft) gewandt. Die Beschwerdeführerin habe nach dem Vorfall vom (...) November 2013 keinen der Entführer mehr gesehen (A 25/26 Antwort 93). Aus diesen Schilderungen geht hervor, dass es die Beschwerdeführenden offenbar nicht für nötig erachteten, im eigentlichen Sinne unterzutauchen. Eine einflussreiche mafiöse Organisation wäre zwei­fellos in der Lage gewesen, sie und ihre Angehörigen im Hotel einer Verwandten aufzuspüren, hätte noch ein Verfolgungsinteresse bestan­den, zumal der Beschwerdeführer angab, sie seien dort behördlich regist­riert gewesen (A 14/35 S. 5). Auch die Korrespondenz mit der Polizei wäre kaum unentdeckt geblieben, da die Beschwerdeführerin ja vorbrachte, F._______ sei über die Abläufe bei dieser Behörde informiert gewe­sen (A 9/47 S. 11). Im Übrigen gab sie bei der ersten Spontanschilderung zu Protokoll, diejenigen Personen, welche Schmiergelder fordern würden, seien nach einem Machtwechsel nicht mehr dieselben (A 9/47 S. 10). Dies würde an sich auch aus ihrer Sicht gegen eine anhaltende Verfol­gung durch I._______ nach der Machtergreifung durch Poroschenko hindeuten. Mehr ins Gewicht fällt die Tatsache, dass sie entgegen den in keiner Weise überzeugenden Beschwerdevorbringen nicht in der Lage war, ihre Befürchtungen im Zeitpunkt der Ausreise angemessen zu substanziieren. Sie beschränkte sich bei Nachfragen weitgehend auf Vermutungen. Da­bei verwies sie unter anderem auch auf die "Gerüchteküche" (A 25/26 Ant­worten 84 ff. und 147 ff.). Am Ende der Anhörung vermittelte sie den Ein­druck, erst nach der Lektüre eines im erstinstanzlichen Verfahrens einge­reichten Beweismittels Angst vor I._______ bekommen zu haben (A 25/26 Antwort 196). Schliesslich lassen die Vorbereitungen der Flucht verbun­den mit dem Bügeln der Wäsche vor der legalen Ausreise wiederum nicht auf eine akut drohende Verfolgung durch Drittpersonen schliessen (A 25/26 Antworten 71 f.). Die beiden eingereichten Schreiben der Cousine und der Schwester der Beschwerdeführerin müssen vor diesem Hinter­grund als Gefälligkeitsdokumente qualifiziert werden beziehungsweise las­sen eine den Beschwerdeführenden wirklich drohende ernsthafte Ge­fahr - unbesehen der Frage der Asylrelevanz - nicht als beachtlich wahr­scheinlich erscheinen. Auch die im vorinstanzlichen Verfahren eingereich­ten Beweismittel rechtfertigen keine andere Einschätzung (vgl. u.a. A 25/26 Frage 36).</w:t>
      </w:r>
    </w:p>
    <w:p>
      <w:r>
        <w:rPr>
          <w:b/>
        </w:rPr>
        <w:t>E. 6.4</w:t>
      </w:r>
    </w:p>
    <w:p>
      <w:r>
        <w:t>Nebst der Verfolgung wegen der Rede seiner Gattin befürchtet der Be­schwerdeführer den Einzug in die Armee. In diesem Zusammenhang macht er geltend, entgegen der vorinstanzlichen Auffassung auch als nie­dergelassener Georgier in der Ukraine dienstpflichtig zu sein. Ferner sei er am (...) November 2013 zusammengeschlagen worden.</w:t>
      </w:r>
    </w:p>
    <w:p>
      <w:r>
        <w:rPr>
          <w:b/>
        </w:rPr>
        <w:t>E. 6.4.1</w:t>
      </w:r>
    </w:p>
    <w:p>
      <w:r>
        <w:t>Der Beschwerdeführerin ist es nicht gelungen, eine aktuell dro­hende Verfolgung durch I._______ wegen ihrer Rede glaubhaft zu machen. Aus den Äusserungen des Beschwerdeführers ergeben sich keine Anhalts­punkte, welche diese Beurteilung als falsch erscheinen liesse. Dies trifft auch auf die Aussagen des Stiefsohns zu (Verfahren D-5161/2014). Den Vorfall vom (...) November 2013 erwähnte er erst auf Beschwerdeebene. Unbese­hen dieser Sachlage ist dieses Ereignis neun Monate vor der Aus­reise nicht als fluchtrelevant zu qualifizieren, zumal eine andauernde Verfol­gungssituation durch I._______ im Ausreisezeitpunkt ja verneint wurde. Eine Gefährdung einzig wegen der russischen Sprache ist ebenfalls nicht ersichtlich. Auch die ethnische Zu­gehörigkeit der Beschwerdeführerin führt nicht schon per se zu einer rele­vanten Verfolgungsfurcht.</w:t>
      </w:r>
    </w:p>
    <w:p>
      <w:r>
        <w:rPr>
          <w:b/>
        </w:rPr>
        <w:t>E. 6.4.2</w:t>
      </w:r>
    </w:p>
    <w:p>
      <w:r>
        <w:t>Es ist das legitime Recht eines Staates, seine Bürger zum Militär­dienst einzuberufen. Dass die allfällige militärische Inpflichtnahme in der Uk­raine beim Beschwerdeführer aus asylrelevanten Motiven erfolgen würde, kann den Akten nicht entnommen werden. Es wäre auch in keiner Weise offenkundig, dass er bei einem Kampfeinsatz im Osten an der Front eingesetzt würde. Allfällige strafrechtliche oder disziplinari­sche Mass­nahmen bei Pflichtverletzungen im Zusammenhang mit der Mili­tär­dienstpflicht wären daher grundsätzlich und entgegen den Beschwerdevor­bringen nicht als politisch motivierte oder menschenrechts­widrige Verfolgungsmassnahmen zu betrachten, sollte er entgegen der vorinstanzlichen Sichtweise tatsächlich einberufen werden.</w:t>
      </w:r>
    </w:p>
    <w:p>
      <w:r>
        <w:rPr>
          <w:b/>
        </w:rPr>
        <w:t>E. 6.5</w:t>
      </w:r>
    </w:p>
    <w:p>
      <w:r>
        <w:t>Die Tochter der Beschwerdeführerin macht nebst der für aktuell unglaub­haft erachteten mafiösen Verfolgung der Eltern geltend, Anfang Juni 2014 auf der Strasse von einer unbekannten Person beschimpft worden zu sein. Diesem Vorfall kommt mangels Verfolgungsintensität offen­sichtlich keine Asylrelevanz zu. Ihre weitere Befürchtung, wegen der teilweisen Roma-Abstammung behelligt zu werden, ist zwar subjektiv nach­vollziehbar. Hinweise für eine diesbezüglich konkret drohende Ge­fahr können den Akten indes auch bei ihr nicht entnommen werden.</w:t>
      </w:r>
    </w:p>
    <w:p>
      <w:r>
        <w:rPr>
          <w:b/>
        </w:rPr>
        <w:t>E. 7</w:t>
      </w:r>
    </w:p>
    <w:p>
      <w:r>
        <w:t>Unter Berücksichtigung der gesamten Umstände folgt, dass die Be­schwer­deführenden keine Gründe nach Art. 3 AsylG nachweisen oder glaub­haft machen konnten. Die Vorinstanz hat die Flüchtlingseigen­schaft zu Recht verneint und die Asylgesuche abgelehnt. An dieser Einschät­zung ver­mögen die weiteren Ausführungen in den Eingaben mangels Stich­haltig­keit nichts zu ändern. Auch die Beweismittel rechtfertigen nach dem Gesag­ten keine andere Einschätzung.</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Ukraine ist demnach unter dem Aspekt von Art. 5 AsylG recht­mässig. Sodann ergeben sich weder aus den Aussagen der Beschwerdefüh­renden noch aus den Akten Anhaltspunkte dafür, dass sie für den Fall ei­ner Aus­schaffung in den Heimat- beziehungsweise Herkunftsstaat dort mit beachtlicher Wahrscheinlichkeit ei­ner nach Art. 3 EMRK oder Art. 1 FoK verbotenen Strafe oder Behand­lung ausgesetzt wären. Gemäss Pra­xis des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Ukraine lässt den Wegwei­sungsvollzug zum heutigen Zeitpunkt nicht landesweit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9.5.1</w:t>
      </w:r>
    </w:p>
    <w:p>
      <w:r>
        <w:t>Das Bundesverwaltungsgericht geht davon aus, dass die all­ge­mei­ne Lage in der Ukraine nicht landesweit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9.5.2</w:t>
      </w:r>
    </w:p>
    <w:p>
      <w:r>
        <w:t>Die Beschwerdeführenden stammen aus E._______ und mithin nicht aus dem Osten des Landes, wo erneut Kampfhandlungen stattfinden. Sie verfügen offenbar nach wie vor über Vermögen und soziale Bezugs­punk­te vor Ort. Gemäss Aktenlage ist der weitere Aufenthalt der Beschwer­deführerin in der Schweiz auch aus medizinischen Gründen nicht notwendig. Es ist entsprechend nicht davon aus­zugehen, dass sie nach ihrer Rückkehr in die Ukraine dort in eine exis­tenzgefähr­dende Situa­tion geraten. Zudem ist ihnen unbenommen, im Sinne einer inner­staatli­chen Aufenthaltsalternative beispielsweise in K._______ Wohnsitz zu nehmen. Anzufügen ist, dass die von den Beschwerdeführenden gel­tend gemachte Gefährdung in Georgien wegen kaukasischer Banditen nicht hinreichend konkret auf entsprechende Nachteile hinweist. Ent­sprechend könnte der Beschwerdeführer, welcher wiederholt ins Heimat­land reiste, auch dort mit der Familie Wohnsitz nehmen (A 14/35 S. 5).</w:t>
      </w:r>
    </w:p>
    <w:p>
      <w:r>
        <w:rPr>
          <w:b/>
        </w:rPr>
        <w:t>E. 9.5.3</w:t>
      </w:r>
    </w:p>
    <w:p>
      <w:r>
        <w:t>Nach dem Gesagten erweist sich der Vollzug der Wegweisung auch als zumutbar.</w:t>
      </w:r>
    </w:p>
    <w:p>
      <w:r>
        <w:rPr>
          <w:b/>
        </w:rPr>
        <w:t>E. 9.6</w:t>
      </w:r>
    </w:p>
    <w:p>
      <w:r>
        <w:t>Schliesslich obliegt es den Beschwerdeführenden,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vom 20. August 2014 Bundesrecht teilweise verletzte. Die entsprechende Gehörsverletzung konnte jedoch auf Beschwerdeebene geheilt werden. Die angefochtene Verfügung vom 5. September 2014 verletzt Bun­desrecht nicht und stellt den rechtserheblichen Sachverhalt richtig sowie vollständig fest (Art. 106 Abs. 1 AsylG). Die Beschwerde ist in diesem Sinne abzuweisen.</w:t>
      </w:r>
    </w:p>
    <w:p>
      <w:r>
        <w:rPr>
          <w:b/>
        </w:rPr>
        <w:t>E. 11.1</w:t>
      </w:r>
    </w:p>
    <w:p>
      <w:r>
        <w:t>Bei diesem Ausgang des Verfahrens sind die reduzierten Kosten den Beschwerdeführenden aufzuerlegen (Art. 63 Abs. 1 VwVG) und auf insge­samt Fr. 300.- fest­zusetzen (Art. 1-3 VGKE [SR 173.320.2]). Sodann ist bezüglich der Akteneinsicht vom partziellen Obsiegen der Beschwerdeführenden auszugehen, weshalb ihnen eine entsprechend reduzierte Parteientschädigung für die ihnen erwachsenen notwendigen und verhältnismässig hohen Kosten zuzusprechen ist (Art. 64 Abs. 1 VwVG i.V.m. Art. 7 ff. VGKE). Die Beschwerdeführenden haben keine Kostennote eingereicht. Auf die Nachforderung einer solchen kann jedoch verzichtet werden, zumal der entsprechende Aufwand hinreichend zuverlässig abgeschätzt werden kann. Unter Berücksichtigung der massgebenden Berechnungsfaktoren hat die Vorinstanz eine Parteientschädigung von Fr. 300.-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