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D-5152/2015 vom 27. Juni 2017</w:t>
      </w:r>
    </w:p>
    <w:p>
      <w:r>
        <w:t>Bundesverwaltungsgericht, 2017-06-27, DE</w:t>
      </w:r>
    </w:p>
    <w:p>
      <w:r>
        <w:rPr>
          <w:b/>
        </w:rPr>
        <w:t xml:space="preserve">Quelle: </w:t>
      </w:r>
      <w:r>
        <w:t>https://mcp.opencaselaw.ch/entscheid/bvger_D-5152_2015</w:t>
      </w:r>
    </w:p>
    <w:p>
      <w:r>
        <w:t>FR: TAF D-5152/2015 du 27 juin 2017</w:t>
      </w:r>
    </w:p>
    <w:p>
      <w:r>
        <w:t>IT: TAF D-5152/2015 del 27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Art. 111b AsylG regelt die Wiedererwägung. Im Übrigen richtet sich das Verfahren nach dem VwVG.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Demnach kann mit Beschwerde die Verletzung von Bundesrecht - einschliesslich Missbrauch und Überschreiten des Ermessens -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Auf ein Wiedererwägungsgesuch ist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w:t>
      </w:r>
    </w:p>
    <w:p>
      <w:r>
        <w:rPr>
          <w:b/>
        </w:rPr>
        <w:t>E. 4.2</w:t>
      </w:r>
    </w:p>
    <w:p>
      <w:r>
        <w:t>Das SEM hat den grundsätzlichen Anspruch des Beschwerdeführers auf Behandlung des Wiedererwägungsgesuchs vom 6. Juli 2015 nicht in Abrede gestellt. Im vorliegenden Beschwerdeverfahren ist zu prüfen, ob das SEM zu Recht davon ausgegangen ist, dass die Vorbringen des Beschwerdeführers die Sachlage nicht derart verändern, als dass die Voraussetzungen für die Überstellung nach Ungarn gestützt auf die Dublin-III-VO nicht mehr gegeben wären.</w:t>
      </w:r>
    </w:p>
    <w:p>
      <w:r>
        <w:rPr>
          <w:b/>
        </w:rPr>
        <w:t>E. 5.1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5.2</w:t>
      </w:r>
    </w:p>
    <w:p>
      <w:r>
        <w:t>Aus denselben Gründen ist es dem Gericht auch vorliegend nicht möglich, die sich im Zusammenhang mit einer Überstellung des Beschwerdeführers nach Ungarn stellenden Fragen zu beurteilen. Die angefochtene Verfügung ist folglich aufzuheben und die Sache zur vollständigen Sachverhaltsfeststellung sowie zu neuer Entscheidung an die Vorinstanz zurückzuweisen.</w:t>
      </w:r>
    </w:p>
    <w:p>
      <w:r>
        <w:rPr>
          <w:b/>
        </w:rPr>
        <w:t>E. 6</w:t>
      </w:r>
    </w:p>
    <w:p>
      <w:r>
        <w:t>Nach dem Gesagten ist die Beschwerde gutzuheissen, soweit die Aufhebung der angefochtenen Verfügung beantragt wird, und die Sache zur Neubeurteilung im Sinne der Erwägungen an die Vorinstanz zurückzuweisen. Auf die weiteren Beschwerdevorbringen ist aufgrund der vorliegenden Kassation zum heutigen Zeitpunkt nicht näher einzugehen.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der Rechtsmitteleingabe vom 25. August 2015 eine vom selben Tag datierende Honorarnote ein (Aufwand von 8 Stunden). Diesbezüglich ist festzustellen, dass die Beschwerdeeingabe über weite Teile dieselben Ausführungen (insbesondere zur Situation in Ungarn) enthält wie die von derselben Rechtsvertreterin gleichzeitig anhängig gemachte Beschwerde im Wiedererwägungsverfahren der Tochter B._______ (Verfahren D-5151/2015). Der Aufwand der Rechtsvertreterin für das Studium der Rechtsprechung und die Länderrecherche wurde bereits im Beschwerdeverfahren D-5151/2015 abgegolten und ist deshalb vorliegend nicht noch einmal zu entschädigen. Für den seit der Rechtsmitteleingabe vom 25. August 2015 angefallenen Aufwand wurde keine Kostennote eingereicht. Auf die Nachforderung einer solchen wird verzichtet, da sich der Aufwand für die weiteren Eingaben zuverlässig abschätzen lässt (Art. 14 Abs. 2 VGKE). Bezüglich der Replik vom 3. November 2015 ist festzustellen, dass diese weitestgehend deckungsgleich mit der Replikeingabe derselben Rechtsvertreterin im Beschwerdeverfahren D-5151/2015 ist, weshalb der Aufwand der Rechtsvertreterin für die diesbezügliche Länderrecherche, der bereits im Verfahren D-5151/2015 abgegolten wurde, vorliegend nicht nochmals zu entschädigen ist. Gestützt auf die in Betracht zu ziehenden Bemessungsfaktoren (Art. 9-13 VGKE) ist dem Beschwerdeführer zulasten des SEM eine Parteientschädigung von insgesamt Fr. 1750.-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