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D-514/2023 vom 3. Februar 2023</w:t>
      </w:r>
    </w:p>
    <w:p>
      <w:r>
        <w:t>Bundesverwaltungsgericht, 2023-02-03, DE</w:t>
      </w:r>
    </w:p>
    <w:p>
      <w:r>
        <w:rPr>
          <w:b/>
        </w:rPr>
        <w:t xml:space="preserve">Quelle: </w:t>
      </w:r>
      <w:r>
        <w:t>https://mcp.opencaselaw.ch/entscheid/bvger_D-514_2023</w:t>
      </w:r>
    </w:p>
    <w:p>
      <w:r>
        <w:t>FR: TAF D-514/2023 du 3 février 2023</w:t>
      </w:r>
    </w:p>
    <w:p>
      <w:r>
        <w:t>IT: TAF D-514/2023 del 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form- und fristgerecht eingereichte Beschwerde ist - unter Vorbehalt von E. 2.2 - einzutreten (Art. 52 Abs. 1 VwVG und Art. 108 Abs. 3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nicht einzutreten. Zudem wird die von der Vorinstanz verfügte Anpassung des Geburtsdatums im ZEMIS (Dispositivziffer 6) nicht explizit angefochten. Auch unter Berücksichtigung der diesbezüglich noch laufenden Beschwerdefrist ist aufgrund der Beschwerdebegründung davon auszugehen, die vorliegende Beschwerde richte sich ausschliesslich gegen den verfügten Nichteintretensentscheid. Dispositivziffer 6 ist folglich ebenfalls nicht Gegenstand des Verfahrens.</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Falle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der Dublin-III-VO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4.3</w:t>
      </w:r>
    </w:p>
    <w:p>
      <w:r>
        <w:t>Im Falle einer unbegleiteten minderjährigen Person ohne familiäre Anknüpfungspunkte (zu einem anderen Mitgliedstaat) ist gemäss Art. 8 Abs. 4 Dublin-III-VO der Staat zuständig, in welchem jene einen Antrag auf internationalen Schutz gestellt hat. Unbegleitete Minderjährige sind vom Wiederaufnahmeverfahren ausgenommen (vgl. Filzwieser/Sprung, Dublin-III-VO, Wien 2014, Kap. 15 f. zu Art. 8).</w:t>
      </w:r>
    </w:p>
    <w:p>
      <w:r>
        <w:rPr>
          <w:b/>
        </w:rPr>
        <w:t>E. 5.1</w:t>
      </w:r>
    </w:p>
    <w:p>
      <w:r>
        <w:t>Nachdem unbegleitete Minderjährige vom Wiederaufnahmeverfahren ausgenommen sind, ist vorab zu prüfen, ob die Vorinstanz die dargelegte Minderjährigkeit des Beschwerdeführers zutreffend verneint hat.</w:t>
      </w:r>
    </w:p>
    <w:p>
      <w:r>
        <w:rPr>
          <w:b/>
        </w:rPr>
        <w:t>E. 5.2</w:t>
      </w:r>
    </w:p>
    <w:p>
      <w:r>
        <w:t>Eine geltend gemachte Minderjährigkeit ist von der asylsuchenden Person zu beweisen, soweit ihr ein Beweis möglich ist, und andernfalls wenigstens glaubhaft zu machen, da sie die Beweislast trägt, auch wenn das SEM die entscheidrelevanten Sachverhaltsmomente von Amtes wegen festzustellen hat (vgl. BVGE 2018 VI/3 E. 4.2.3 m.w.H.; Urteil E-319/2023 vom 24. Januar 2023 E. 5.2.2). Der Einwand des Beschwerdeführers, im Zweifel sei er als minderjährig anzusehen, entbehrt folglich einer Grundlage.</w:t>
      </w:r>
    </w:p>
    <w:p>
      <w:r>
        <w:rPr>
          <w:b/>
        </w:rPr>
        <w:t>E. 5.3.1</w:t>
      </w:r>
    </w:p>
    <w:p>
      <w:r>
        <w:t>Am (...) wurde betreffend den Beschwerdeführer ein Altersgutachten erstellt. Dieses wurde von ärztlichen Fachpersonen des Instituts für Rechtsmedizin des (...) verfasst, welches nach den Vorgaben der Schweizerische Akkreditierungsstelle (SAS) im Bereich der forensischen Medizin zertifiziert ist. Die dort tätigen Gutachter und Gutachterinnen sind auch von der Arbeitsgemeinschaft für Forensische Altersdiagnostik der Deutschen Gesellschaft für Rechtsmedizin (AGFAD) zertifiziert. Zudem folgt das Altersgutachten den Empfehlungen der AGFAD (vgl. act. SEM 1199836-29/7 Ziff. 1) und entspricht den Vorgaben im Methodendokument "Forensische Altersdiagnostik" der Schweizerischen Gesellschaft für Rechtsmedizin (SGRM). Es liegen somit keine Anzeichen vor, wonach das Gutachten nicht gemäss dem aktuellen Stand der Wissenschaft erstellt wurde (vgl. auch Urteil des BVGer E-4231/2021 vom 8. Oktober 2021 E. 4.2) und es kann im Folgenden auf das Gutachten abgestützt werden.</w:t>
      </w:r>
    </w:p>
    <w:p>
      <w:r>
        <w:rPr>
          <w:b/>
        </w:rPr>
        <w:t>E. 5.3.2</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vgl. zudem Urteil des BVGer D-1720/2022 vom 21. April 2022 E. 8.2). Diese Voraussetzungen sind hier erfüllt. So liegt das Mindestalter des Beschwerdeführers gemäss rechtsmedizinischem Gutachten vom (...) bei der zahnärztlichen Untersuchung unter 18 Jahren ([...] Jahre) und bei der Schlüsselbeinanalyse über 18 Jahren ([...] Jahre); die Alterspannen der beiden Analysen überlappen sich (zahnärztliche Untersuchung [...] bis [...] Jahre; Schlüsselbeinanalyse: [...] und [...] Jahre).</w:t>
      </w:r>
    </w:p>
    <w:p>
      <w:r>
        <w:rPr>
          <w:b/>
        </w:rPr>
        <w:t>E. 5.3.3</w:t>
      </w:r>
    </w:p>
    <w:p>
      <w:r>
        <w:t>Damit stellt das Altersgutachten vom (...) ein starkes Indiz für die Volljährigkeit des Beschwerdeführers dar. Im Zusammenschau aller Untersuchungsbefunde geht das Altersgutachten von einem Mindestalter von (...) Jahren aus.</w:t>
      </w:r>
    </w:p>
    <w:p>
      <w:r>
        <w:rPr>
          <w:b/>
        </w:rPr>
        <w:t>E. 5.4</w:t>
      </w:r>
    </w:p>
    <w:p>
      <w:r>
        <w:t>Das Resultat des Altersgutachtens stellt zwar nur ein Element bei der Beurteilung der Glaubhaftigkeit einer geltend gemachten Minderjährigkeit dar, da allerdings die forensische Altersschätzung klar darauf hindeutet, dass der Beschwerdeführer volljährig ist, bleibt nur wenig Raum für die Beweiswürdigung (vgl. BVGE 2019 I/6 E. 6.1 ff.; Urteil des BVGer D-5895/2022 vom 16. Januar 2023 E. 8.2 und E. 8.5). Dennoch kann festgehalten werden, dass auch das Aussageverhalten des Beschwerdeführers das Bundesverwaltungsgericht nicht von seiner Minderjährigkeit zu überzeugen vermag. Vielmehr fällt auf, dass sich der Beschwerdeführer im Verlaufe des Asylverfahrens widersprüchlich zu seinem Alter äusserte. So hat er in Österreich ([...]; vgl. act. SEM 1199836-45/5), auf dem Personalienblatt ([...]; vgl. act. SEM 1199836-2/2), anlässlich der EB UMA ([...]; vgl. act. SEM 1199836-22/11 Ziff. 1.06) und in der Stellungnahme zum rechtlichen Gehör auf Grundlage der Impfkarte ([...]; vgl. act. SEM 1199836-36/4) jeweils unterschiedliche Geburtsdaten angegeben. Seine Erklärung für die unterschiedlichen Angaben, er habe bis zum Erhalt der Impfkarte von seiner Familie nur sein Geburtsjahr gekannt und entsprechend irgendeinen Monat und Tag angegeben sowie in Österreich habe er sich so jung wie möglich gemacht, vermögen die Zweifel an seinen Aussagen nicht umzustossen. Im Weiteren kann vollumfänglich auf die diesbezüglich zutreffenden Ausführungen in der angefochtenen Verfügung verwiesen werden (vgl. Entscheid des SEM vom 20. Januar 2023 S. 6 f.).</w:t>
      </w:r>
    </w:p>
    <w:p>
      <w:r>
        <w:rPr>
          <w:b/>
        </w:rPr>
        <w:t>E. 5.5</w:t>
      </w:r>
    </w:p>
    <w:p>
      <w:r>
        <w:t>Die vom Beschwerdeführer zum Beleg seines Alters bereits im Verlauf des vorinstanzlichen Verfahrens zu den Akten gereichte Impfkarte liegt nicht im Original vor, weshalb ihr Beweiswert von vorneherein gering ist. Überdies enthält die Impfkarte keine Sicherheitsmerkmale und kann deshalb einfach gefälscht werden. Aber selbst bei Annahme der Echtheit der Impfkarte stellt diese kein rechtsgenügliches Identitätspapier dar (vgl. Urteil des BVGer D-2559/2022 vom 17. Januar 2023 E. 7.1); es besteht die Möglichkeit, dass die darin enthaltenen Angaben über das Geburtsdatum nicht dem wirklichen Alter entsprechen, zumal die Impfkarte nicht den Zweck hat, die Identität nachzuweisen. Vor diesem Hintergrund teilt das Bundesverwaltungsgericht die Einschätzung der Vorinstanz, wonach der Impfkarte nur eine sehr geringe Beweiskraft zukommt.</w:t>
      </w:r>
    </w:p>
    <w:p>
      <w:r>
        <w:rPr>
          <w:b/>
        </w:rPr>
        <w:t>E. 5.6</w:t>
      </w:r>
    </w:p>
    <w:p>
      <w:r>
        <w:t>Weder die Angaben des Beschwerdeführers noch die eingereichte Kopie der Impfkarte sind folglich geeignet, die Resultate aus dem Altersgutachten, welches ein starkes Indiz für die Volljährigkeit des Beschwerdeführers darstellt, umzustossen.</w:t>
      </w:r>
    </w:p>
    <w:p>
      <w:r>
        <w:rPr>
          <w:b/>
        </w:rPr>
        <w:t>E. 5.7</w:t>
      </w:r>
    </w:p>
    <w:p>
      <w:r>
        <w:t>Schliesslich haben auch die österreichischen Behörden das Übernahmeersuchen des SEM akzeptiert und somit die Einschätzung des SEM zur Volljährigkeit des Beschwerdeführers geteilt.</w:t>
      </w:r>
    </w:p>
    <w:p>
      <w:r>
        <w:rPr>
          <w:b/>
        </w:rPr>
        <w:t>E. 5.8</w:t>
      </w:r>
    </w:p>
    <w:p>
      <w:r>
        <w:t>Unter Berücksichtigung aller Indizien gelangt das Gericht zum Schluss, dass es dem Beschwerdeführer nicht gelungen ist, die von ihm geltend gemachte Minderjährigkeit glaubhaft zu machen. Das SEM ist somit mit einem ordnungsgemässen Wiederaufnahmeersuchen an die österreichischen Behörden gelangt.</w:t>
      </w:r>
    </w:p>
    <w:p>
      <w:r>
        <w:rPr>
          <w:b/>
        </w:rPr>
        <w:t>E. 6.1</w:t>
      </w:r>
    </w:p>
    <w:p>
      <w:r>
        <w:t>Die Vorinstanz ersuchte die österreichischen Behörden am 2. Dezember 2022 um Wiederaufnahme des Beschwerdeführers. Nachdem die österreichischen Behörden das Gesuch am 15. Dezember 2022 zunächst abgelehnt hatten, stimmten sie am 11. Januar 2023 dem Remonstrationsersuchen explizit zu (vgl. act. SEM 1199836-37/2).</w:t>
      </w:r>
    </w:p>
    <w:p>
      <w:r>
        <w:rPr>
          <w:b/>
        </w:rPr>
        <w:t>E. 6.2</w:t>
      </w:r>
    </w:p>
    <w:p>
      <w:r>
        <w:t>Vor diesem Hintergrund ist die grundsätzliche Zuständigkeit Österreichs gegeben.</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Das Bundesverwaltungsgericht geht in ständiger Rechtsprechung davon aus, dass das österreichische Asylsystem keine systemischen Mängel im Sinne von Art. 3 Abs. 2 zweiter Satz Dublin-III-VO aufweist (vgl. bspw. Urteil des BVGer F-5522/2022 vom 7. Dezember 2022 E. 4, m.w.H.). Für eine Änderung dieser Rechtsprechung besteht keine Veranlassung.</w:t>
      </w:r>
    </w:p>
    <w:p>
      <w:r>
        <w:rPr>
          <w:b/>
        </w:rPr>
        <w:t>E. 7.3</w:t>
      </w:r>
    </w:p>
    <w:p>
      <w:r>
        <w:t>Unter diesen Umständen ist die Anwendung von Art. 3 Abs. 2 Dublin-III-VO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8.2</w:t>
      </w:r>
    </w:p>
    <w:p>
      <w:r>
        <w:t>Der Beschwerdeführer vermag nicht darzutun, dass die ihm bei einer Rückführung nach Österreich zu erwartenden Bedingungen derart schlecht sind, dass sie zu einer Verletzung von Art. 3 EMRK führen könnten. Dies gilt auch in Bezug auf die angeblich erlebte - aber nicht substanziiert ausgeführte - schlechte Behandlung in Österreich.</w:t>
      </w:r>
    </w:p>
    <w:p>
      <w:r>
        <w:rPr>
          <w:b/>
        </w:rPr>
        <w:t>E. 8.3</w:t>
      </w:r>
    </w:p>
    <w:p>
      <w:r>
        <w:t>Zudem kann sich der Beschwerdeführer hinsichtlich seiner (...) angeblich in der Schweiz wohnhaften Cousins offensichtlich nicht auf Art. 8 EMRK stützen (vgl. hierzu BGE 144 II 1 E. 6.1; 135 I 143 E. 3.1) und bezüglich seinem Alter offensichtlich nichts aus Kinderrechten ableiten.</w:t>
      </w:r>
    </w:p>
    <w:p>
      <w:r>
        <w:rPr>
          <w:b/>
        </w:rPr>
        <w:t>E. 8.4</w:t>
      </w:r>
    </w:p>
    <w:p>
      <w:r>
        <w:t>Auch die aktenkundigen medizinischen Probleme ([...] und [...]; vgl. act. SEM 1199836-40/1 und act. SEM 1199836-41/1) stehen einer Überstellung nach Österreich offenkundig nicht entgegen. Solches wird auf Beschwerdeebene zu Recht auch nicht geltend gemacht.</w:t>
      </w:r>
    </w:p>
    <w:p>
      <w:r>
        <w:rPr>
          <w:b/>
        </w:rPr>
        <w:t>E. 8.5</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8.6</w:t>
      </w:r>
    </w:p>
    <w:p>
      <w:r>
        <w:t>Es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Österreich bleibt somit zuständiger Mitgliedstaat gemäss Dublin-III-VO und ist verpflichtet, den Beschwerdeführer wiederaufzunehmen.</w:t>
      </w:r>
    </w:p>
    <w:p>
      <w:r>
        <w:rPr>
          <w:b/>
        </w:rPr>
        <w:t>E. 9</w:t>
      </w:r>
    </w:p>
    <w:p>
      <w:r>
        <w:t>Die Vorinstanz ist demnach zu Recht in Anwendung von Art. 31a Abs. 1 Bst. b AsylG auf das Asylgesuch des Beschwerdeführers nicht eingetreten und hat die Überstellung des Beschwerdeführers nach Österreich verfügt. Die Beschwerde ist abzuweisen.</w:t>
      </w:r>
    </w:p>
    <w:p>
      <w:r>
        <w:rPr>
          <w:b/>
        </w:rPr>
        <w:t>E. 10.1</w:t>
      </w:r>
    </w:p>
    <w:p>
      <w:r>
        <w:t>Der am 30. Januar 2023 verfügte Vollzugsstopp fällt mit dem vorliegenden Urteil dahin.</w:t>
      </w:r>
    </w:p>
    <w:p>
      <w:r>
        <w:rPr>
          <w:b/>
        </w:rPr>
        <w:t>E. 10.2</w:t>
      </w:r>
    </w:p>
    <w:p>
      <w:r>
        <w:t>Mit dem Entscheid in der Hauptsache sind die Gesuche um Erteilung der aufschiebenden Wirkung und um Verzicht auf die Erhebung eines Kostenvorschusses gegenstandlos geworden.</w:t>
      </w:r>
    </w:p>
    <w:p>
      <w:r>
        <w:rPr>
          <w:b/>
        </w:rPr>
        <w:t>E. 10.3</w:t>
      </w:r>
    </w:p>
    <w:p>
      <w:r>
        <w:t>Die Gesuche um Gewährung der unentgeltlichen Prozessführung (Art. 65 Abs. 1 VwVG) und um amtliche Verbeiständung (Art. 102m Abs. 1 Bst. a AsylG) sind abzuweisen, da sich die Beschwerdebegehren entsprechend den vorstehenden Erwägungen von vornherein als aussichtslos erwiesen haben.</w:t>
      </w:r>
    </w:p>
    <w:p>
      <w:r>
        <w:rPr>
          <w:b/>
        </w:rPr>
        <w:t>E. 10.4</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