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D-5149/2013 vom 29. Januar 2015</w:t>
      </w:r>
    </w:p>
    <w:p>
      <w:r>
        <w:t>Bundesverwaltungsgericht, 2015-01-29, DE</w:t>
      </w:r>
    </w:p>
    <w:p>
      <w:r>
        <w:rPr>
          <w:b/>
        </w:rPr>
        <w:t xml:space="preserve">Quelle: </w:t>
      </w:r>
      <w:r>
        <w:t>https://mcp.opencaselaw.ch/entscheid/bvger_D-5149_2013</w:t>
      </w:r>
    </w:p>
    <w:p>
      <w:r>
        <w:t>FR: TAF D-5149/2013 du 29 janvier 2015</w:t>
      </w:r>
    </w:p>
    <w:p>
      <w:r>
        <w:t>IT: TAF D-5149/2013 del 29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 vorbehältlich der nachstehenden Ausführungen - einzutreten.</w:t>
      </w:r>
    </w:p>
    <w:p>
      <w:r>
        <w:rPr>
          <w:b/>
        </w:rPr>
        <w:t>E. 1.5</w:t>
      </w:r>
    </w:p>
    <w:p>
      <w:r>
        <w:t>In der angefochtenen Verfügung vom 7. August 2013 verfügte das BFM die vorläufige Aufnahme der Beschwerdeführenden infolge Unzumutbarkeit des Wegweisungsvollzuges.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Das Rechtsschutzinteresse der Beschwerdeführenden hinsichtlich der Prüfung zusätzlicher individueller Vollzugshindernisse ist folglich zu verneinen. Auf den Eventualantrag, es sei "die Unzulässigkeit oder zumindest die Unzumutbarkeit des Vollzugs der Wegweisung festzustellen und die vorläufige Aufnahme anzuordnen", ist mangels Rechtsschutzinteresses somit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verzichtete das Bundesverwaltungsgericht auf die Durchführung eines Schriftenwechsels.</w:t>
      </w:r>
    </w:p>
    <w:p>
      <w:r>
        <w:rPr>
          <w:b/>
        </w:rPr>
        <w:t>E. 4</w:t>
      </w:r>
    </w:p>
    <w:p>
      <w:r>
        <w:t>In der Beschwerde wird vom Rechtsvertreter gerügt, das BFM wäre (anlässlich der BzP) gehalten gewesen, die Beschwerdeführerin, nachdem sie ihre Schilderung zum gebrochenen Arm ihres Sohnes gemacht habe, zu fragen, ob dieser auch Schussverletzungen erlitten habe. Dabei macht der Rechtsvertreter sinngemäss geltend, der Sachverhalt sei unrichtig beziehungsweise ungenügend erstellt worden. Dieser Vorwurf ist vorab zu prüfen, da er im Bejahungsfall geeignet wäre, eine Kassation der vor­instanzlichen Verfügung zu bewirken. Diesbezüglich ist vorab darauf hinzuweisen, dass die Untersuchungspflicht der Behörden ihre Grenzen an der Mitwirkungspflicht eines Gesuchstellers findet (vgl. Art. 8 AsylG), der auch die Substantiierungslast trägt (vgl. Art. 7 AsylG). Die Beschwerdeführerin wurde auf ihre Mitwirkungspflicht und die Folgen im Falle der Unterlassung hingewiesen (vgl. act. C7/11, S. 2; act. C17/14, S. 2). Im Übrigen befragte das BFM die Beschwerdeführerin anlässlich der Anhörung detailliert zu den Verletzungen ihres Sohnes und erkundigt sich auch, ob dieser Schussverletzungen erlitten habe, was die Beschwerdeführerin verneinte. Sie führte vielmehr an, dass diese Angaben von ihrem Ehemann stammen würden (vgl. act. C17/14, Frage 64 ff.). Das Bundesverwaltungsgericht ist der Ansicht, dass das BFM somit den Sachverhalt richtig und vollständig abgeklärt hat und die Beschwerdeführerin in zureichender Weise angehört wurde. Die Rüge erweist sich somit als unbegründet, womit keine Veranlassung besteht, die bereits vollständig abgeklärte Sache an das SEM zu weiteren Erhebungen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Gesuchstellerin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EMARK 2005 Nr. 21 E. 6.1).</w:t>
      </w:r>
    </w:p>
    <w:p>
      <w:r>
        <w:rPr>
          <w:b/>
        </w:rPr>
        <w:t>E. 6.1</w:t>
      </w:r>
    </w:p>
    <w:p>
      <w:r>
        <w:t>Nach Prüfung der Akten teilt das Bundesverwaltungsgericht die Einschätzung des BFM, sind doch die für die Glaubhaftmachung im Sinne von Art. 7 AsylG geltenden Kriterien (vgl. etwa EMARK 1996 Nr. 27 E. 3c/aa sowie EMARK 1996 Nr. 28 E. 3a) nicht als erfüllt zu erachten. Eine wahrheitsgemässe Schilderung ist gekennzeichnet durch Korrektheit, Originalität, hinreichende Präzision und innere Übereinstimmung. Bei der Beurteilung der Glaubhaftigkeit geht es um eine Gesamtbeurteilung aller Elemente (Übereinstimmung bezüglich des wesentlichen Sachverhalts, Substantiiertheit und Plausibilität der Angaben, persönliche Glaubwürdigkeit, etc.), die für oder gegen die Gesuchstellerin sprechen. Glaubhaftigkeit setzt dabei ein Überwiegen der positiven Elemente voraus. Es genügt daher nicht, wenn der Inhalt der Vorbringen zwar möglich ist, die Gesamtbeurteilung aber wesentlich und überwiegend gegen die vorgebrachte Sachverhaltsdarstellung spricht (EMARK 1996 Nr. 28 E. 3a).</w:t>
      </w:r>
    </w:p>
    <w:p>
      <w:r>
        <w:rPr>
          <w:b/>
        </w:rPr>
        <w:t>E. 6.2</w:t>
      </w:r>
    </w:p>
    <w:p>
      <w:r>
        <w:t>In ihrem Asylgesuch aus dem Ausland, welches die Beschwerdeführerin durch ihren in der Schweiz lebenden Ehemann beziehungsweise durch die vormals zuständige Rechtsvertretung einreichen liess, wurde festgehalten, dass die Angaben in diesem Gesuch auf den Aussagen des Ehegatten in der Schweiz basierten, welche angesichts der schwierigen Kommunikation nicht genügend präzis für ein Asylgesuch sein könnten und die Aussagen in einer Anhörung diesen Angaben vorgehen würden. Dieser Vorbehalt ist indessen nicht wesentlich, wurden doch aufgrund dieser Angaben im Asylgesuch aus dem Ausland die Einreisebewilligungen erteilt. Die Aussagen der Beschwerdeführerin anlässlich ihrer Befragungen weichen beträchtlich von den geltend gemachten Ausführungen im Auslandgesuch ab. So erlitt ihr Sohn weder eine Schussverletzung noch einen hohen Blutverlust. Auch handelt es sich beim getöteten Bruder nicht - wie mit Fax vom 6. September 2011 der damaligen Rechtsvertretung geltend gemacht - um den einzigen, da die Beschwerdeführerin gemäss ihren Aussagen noch einen in Somalia lebenden Bruder hat. Die Beschwerdeführerin führt diametral abweichend von ihrem Auslandgesuch in den Befragungen aus, sie selber sei nie direkt von einer Zwangsheirat oder Vergewaltigung betroffen gewesen. Diese unterschiedlichen Darstellungen liess sie durch ihre Rechtsvertretung dahingehend begründen, dass sich die Version bezüglich der Verletzung des Sohnes aus Kommunikationsschwierigkeiten ergeben habe. Diesem Einwand kann indessen nicht gefolgt werden, da die von ihrem Ehemann beziehungsweise dessen damaligem Rechtsvertreter vorgebrachte Schilderung aufgrund der Erzählungen des Bruders (bzw. Onkels und Schwagers der Beschwerdeführenden), der Sohn sei angeschossen worden und habe infolge des grossen Blutverlusts hospitalisiert werden müssen, von der Darlegung der Beschwerdeführerin, ihr Sohn habe den Arm beziehungsweise die Hand gebrochen, in beträchtlicher Weise abweicht. Auch wurden die behaupteten Kommunikationsschwierigkeiten nicht weiter konkretisiert. Vielmehr erstaunt es, dass mit Fax vom 15. September 2011 der früheren Rechtsvertretung detailliert über den damaligen Gesundheitszustand der Beschwerdeführerinnen berichtet werden konnte (unverletzt, lediglich Wunden an den Füssen) und die Ausreiseroute sowie Einzelheiten wie die Passfrage kommuniziert werden konnten, über den Gesundheitszustand des Beschwerdeführers jedoch lediglich angemerkt wurde, dass sich dieser noch länger im Spital aufhalten müsse. Gemäss Angaben der Beschwerdeführerin habe der Schwager beziehungsweise Onkel nach dem Überfall vom (...) den Beschwerdeführer zur Grossmutter gebracht, wo dieser geduscht worden sei. Erst später habe man ihn aufgrund von Schmerzen im Arm ins Krankenhaus gebracht (vgl. act. C17/14, S. 10). Aus diesen Angaben ist zu schliessen, dass bereits kurze Zeit nach dem geltend gemachten Überfall, als sich die Beschwerdeführerinnen eigenen Angaben zufolge noch auf der Flucht befanden, festgestellt werden konnte, dass der Beschwerdeführer keine Schussverletzungen beziehungsweise keinen hohen Blutverlust aufwies und sich "lediglich" aufgrund des Bruchs der Hand oder des Armes ins Krankenhaus einweisen liess.</w:t>
      </w:r>
    </w:p>
    <w:p>
      <w:r>
        <w:rPr>
          <w:b/>
        </w:rPr>
        <w:t>E. 6.3</w:t>
      </w:r>
    </w:p>
    <w:p>
      <w:r>
        <w:t>Die Aussagen der Beschwerdeführerin anlässlich der in der Schweiz durchgeführten Befragungen sind wenig konkret und nachvollziehbar und vermitteln nicht den Eindruck, dass sich das Geschilderte tatsächlich so zugetragen hat. Im Weiteren entbehren sie vielfach der Logik und sind teilweise widersprüchlich. So sprach die Beschwerdeführerin in der BzP von drei Männern, welche ihren Bruder begleitet hätten (vgl. act. C7/11, S. 8), in der Anhörung sollen es jedoch deren zwei gewesen sein (vgl. act. C17/14, S. 9). Auf diesen Widerspruch angesprochen führte die Beschwerdeführerin lediglich aus, sie habe in der BzP gesagt, sie seien zu dritt gekommen, habe jedoch nie dargelegt, ihr Bruder und drei Männer seien gekommen (vgl. act. C17/14, S. 9). Im Weiteren sollen Angehörige der al-Shabaab dem Beschwerdeführer beim Überfall die Hand gebrochen haben beziehungsweise er habe mit einem gebrochenen Arm unter den Toten gelegen. Im Verlauf der Anhörung gab die Beschwerdeführerin jedoch an, dass man es doch nicht genau wisse, ob Angehörige der al-Shabaab ihm die Hand gebrochen hätten oder ob diese Verletzung aus einem Sprung resultiere. Ihr, eigenen Angaben zufolge damals (...)-jähriger Sohn könne es selber auch nicht erklären (vgl. act. C7/11, S. 8; act. C17/14, S. 3 und 9). Insbesondere bezüglich des Kernelements der angeblichen Verfolgung durch die al-Shabaab vermochte die Beschwerdeführerin nicht den Eindruck erwecken, gezielt durch diese bedroht gewesen zu sein. Ihre Einschätzung, bei der al-Shabaab als Spionin gegolten zu haben, beruht vermutungsweise auf dem Umstand, in K._______ Essen geholt zu haben und nach der Anhaltung und Freilassung geflüchtet zu sein (vgl. act. C17/14, S. 8). Anderen Angaben zufolge wurde ihr aber lediglich untersagt, nicht mehr zur Essensausgabe durch die Hilfsorganisation zu erscheinen, worauf sie freigelassen wurde und sich dieser Anweisung denn auch fügte (vgl. C17/14, S. 5, F22 und F23, F28). Hätte sie nur wegen des Erscheinens an der Essensausgabe oder aufgrund der dort anwesenden Regierungssoldaten als Spionin gegolten, wäre sie kaum von den Angehörigen der al-Shabaab freigelassen worden. Die teilweise auf Vermutungen basierenden Ausführungen zur angeblichen Verfolgung erweisen sich insgesamt als weder schlüssig noch substantiiert und vermitteln nicht den Eindruck, die Beschwerdeführerin habe diese Ereignisse selbst erlebt. Vollständigkeitshalber gilt es anzumerken, dass die eingereichten Internetauszüge - wie von der Vorinstanz bereits festgestellt - die Verbindung der Beschwerdeführerin zu den darin erwähnten Ereignissen nicht zu belegen vermögen.</w:t>
      </w:r>
    </w:p>
    <w:p>
      <w:r>
        <w:rPr>
          <w:b/>
        </w:rPr>
        <w:t>E. 6.4</w:t>
      </w:r>
    </w:p>
    <w:p>
      <w:r>
        <w:t>Angesichts der aufgezeigten Sachlage erübrigt es sich, auf die weite­ren Ausführungen in der Beschwerde einzugehen, da diese nicht geeig­net sind, zu einer anderen rechtlichen Würdigung der Aktenlage zu füh­ren. Es ist somit festzustellen, dass die Beschwerdeführenden einen flüchtlingsrechtlich bedeutsamen Sachverhalt weder nachgewiesen noch glaubhaft gemacht haben, weshalb die Vorinstanz ihre Asylgesuche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7.3</w:t>
      </w:r>
    </w:p>
    <w:p>
      <w:r>
        <w:t>Da die Beschwerdeführenden mit Verfügung des BFM vom 7. August 2013 vorläufig aufgenommen wurden, erübrigen sich Ausführungen zur Frage der Durchführbarkeit des Vollzugs.</w:t>
      </w:r>
    </w:p>
    <w:p>
      <w:r>
        <w:rPr>
          <w:b/>
        </w:rPr>
        <w:t>E. 8</w:t>
      </w:r>
    </w:p>
    <w:p>
      <w:r>
        <w:t>Aus diesen Erwägungen ergibt sich, dass die angefochtene Verfügung Bundesrecht nicht verletzt sowie den rechtserheblichen Sachverhalt richtig und vollständig feststellt (Art. 106 Abs. 1 AsylG). Die Beschwerde ist demnach abzuweisen, soweit darauf einzutreten ist.</w:t>
      </w:r>
    </w:p>
    <w:p>
      <w:r>
        <w:rPr>
          <w:b/>
        </w:rPr>
        <w:t>E. 9</w:t>
      </w:r>
    </w:p>
    <w:p>
      <w:r>
        <w:t>Bei diesem Ausgang des Verfahrens sind die Kosten von Fr. 600.- den Beschwerdeführerenden aufzuerlegen (Art. 63 Abs. 1 VwVG: Art. 1-3 des Reglements vom 21. Februar 2008 über die Kosten und Entschädigungen vor dem Bundesverwaltungsgericht [VGKE, SR 173.320.2]). Der am 3. Oktober 2013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