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D-5148/2023 vom 29. September 2023</w:t>
      </w:r>
    </w:p>
    <w:p>
      <w:r>
        <w:t>Bundesverwaltungsgericht, 2023-09-29, DE</w:t>
      </w:r>
    </w:p>
    <w:p>
      <w:r>
        <w:rPr>
          <w:b/>
        </w:rPr>
        <w:t xml:space="preserve">Quelle: </w:t>
      </w:r>
      <w:r>
        <w:t>https://mcp.opencaselaw.ch/entscheid/bvger_D-5148_2023</w:t>
      </w:r>
    </w:p>
    <w:p>
      <w:r>
        <w:t>FR: TAF D-5148/2023 du 29 septembre 2023</w:t>
      </w:r>
    </w:p>
    <w:p>
      <w:r>
        <w:t>IT: TAF D-5148/2023 del 29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w:t>
      </w:r>
    </w:p>
    <w:p>
      <w:r>
        <w:rPr>
          <w:b/>
        </w:rPr>
        <w:t>E. 1.2</w:t>
      </w:r>
    </w:p>
    <w:p>
      <w:r>
        <w:t>Die fristgerechte Eingabe der Beschwerdeführerin richtet sich ausdrücklich gegen den Nichteintretensentscheid vom 12. September 2023 und enthält eine Begründung, weshalb sie nicht damit einverstanden sei. Damit genügt die Eingabe den formellen Anforderungen an eine Beschwerde im Wesentlichen angesichts dessen, dass es sich um eine Laienbeschwerde handelt (Art. 108 Abs. 3 AsylG, Art. 48 Abs. 1 und Art. 52 Abs. 1 VwVG), weshalb auf die Beschwerde einzutreten ist.</w:t>
      </w:r>
    </w:p>
    <w:p>
      <w:r>
        <w:rPr>
          <w:b/>
        </w:rPr>
        <w:t>E. 1.3</w:t>
      </w:r>
    </w:p>
    <w:p>
      <w:r>
        <w:t>Die Kognition des Bundesverwaltungsgerichts und die zulässigen Rügen richten sich im Asylbereich nach Art. 106 Abs. 1 AsylG (vgl. BVGE 2014/26 E. 5).</w:t>
      </w:r>
    </w:p>
    <w:p>
      <w:r>
        <w:rPr>
          <w:b/>
        </w:rPr>
        <w:t>E. 2</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 Die Beschwerdeführerin verfügte über ein Visum aus Frankreich, das erst am 18. Januar 2023 und damit nicht vor mehr als sechs Monaten abgelaufen ist (A7/1, A21/3). Nachdem die französischen Behörden dem Übernahmeersuchen der Vorinstanz gestützt auf Art. 12 Abs. 4 Dublin-III-VO zugestimmt haben, steht die Zuständigkeit Frankreichs grundsätzlich fest. Die Beschwerdeführerin bestreitet das in Frankreich beantragte Visum nicht, jedoch wolle sie in der Schweiz bleiben, um ihrer kranken Schwester zu helfen. Diese Absicht vermag nichts an der festgestellten grundsätzlichen Zuständigkeit Frankreichs zu ändern, räumt doch die Dublin-III-Verordnung den Schutzsuchenden kein Recht ein, den ihren Antrag prüfenden Staat selbst auszuwählen. Zudem hatte sie auch mit ihrer Einreise in Frankreich die dortige Zuständigkeit ausgelöst.</w:t>
      </w:r>
    </w:p>
    <w:p>
      <w:r>
        <w:rPr>
          <w:b/>
        </w:rPr>
        <w:t>E. 4.4</w:t>
      </w:r>
    </w:p>
    <w:p>
      <w:r>
        <w:t>Im Weiteren hat die Vorinstanz zu Recht darauf hingewiesen, dass es sich bei der in der Schweiz lebenden Schwester der Beschwerdeführerin nicht um eine Familienangehörige im Sinne der Legaldefinition von Art. 2 Bst. g Dublin-III VO handelt, und ist zutreffend zum Schluss gelangt, es liege kein Abhängigkeitsverhältnis im Sinne von Art. 16 Abs. 1 Dublin-III VO vor (vi-Entscheid, S. 5 f). Es ist überdies nicht davon auszugehen, die kranke Schwester sei auf die unmittelbare persönliche Unterstützung der Beschwerdeführerin angewiesen, zumal sie einen Ehemann hat, der ihr helfen kann (A13/3).</w:t>
      </w:r>
    </w:p>
    <w:p>
      <w:r>
        <w:rPr>
          <w:b/>
        </w:rPr>
        <w:t>E. 5.1</w:t>
      </w:r>
    </w:p>
    <w:p>
      <w:r>
        <w:t>Es ist im Lichte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Erweist es sich aufgrund solcher systemischen Schwachstellen als unmöglich, einen Antragsteller an den zunächst als zuständig bestimmten Mitgliedstaat zu überstellen,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sowie des Übereinkommens zur Bekämpfung des Menschenhandels (ÜBM, SR 0.311.543) und kommt seinen diesbezüglichen völkerrechtlichen Verpflichtungen nach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Unter diesen Umständen ist die Anwendung von Art. 3 Abs. 2 Dublin-III-VO nicht gerechtfertigt.</w:t>
      </w:r>
    </w:p>
    <w:p>
      <w:r>
        <w:rPr>
          <w:b/>
        </w:rPr>
        <w:t>E. 6.1</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6.2</w:t>
      </w:r>
    </w:p>
    <w:p>
      <w:r>
        <w:t>Die Beschwerdeführerin hat kein konkretes und ernsthaftes Risiko dargetan, die französischen Behörden würden sich weigern, sie aufzunehmen und einen Antrag auf internationalen Schutz unter Einhaltung der Regeln der Verfahrensrichtlinie zu prüfen. Es sind den Akten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Es gibt auch keinen Grund zur Annahme, ihre Überstellung nach Frankreich würde zu einer Verletzung von Art. 3 EMRK führen oder Frankreich würde ihr dauerhaft die ihr gemäss Aufnahmerichtlinie zustehenden minimalen Lebensbedingungen vorenthalten.</w:t>
      </w:r>
    </w:p>
    <w:p>
      <w:r>
        <w:rPr>
          <w:b/>
        </w:rPr>
        <w:t>E. 6.3</w:t>
      </w:r>
    </w:p>
    <w:p>
      <w:r>
        <w:t>Des Weiteren liegen keine Anhaltspunkte vor, wonach die Gesundheit der Beschwerdeführerin bei einer Überstellung nach Frankreich ernsthaft gefährdet würde und solches wird von ihr auch nicht geltend gemacht.</w:t>
      </w:r>
    </w:p>
    <w:p>
      <w:r>
        <w:rPr>
          <w:b/>
        </w:rPr>
        <w:t>E. 6.4</w:t>
      </w:r>
    </w:p>
    <w:p>
      <w:r>
        <w:t>Gemäss Art. 8 Abs. 1 EMRK hat jede Person das Recht auf Achtung ihres Privat- und Familienlebens. Der Schutzbereich dieser Bestimmung umfasst dabei neben der Kernfamilie auch weitere verwandtschaftliche Bande. So kann die Beziehung zwischen den beiden Schwestern ebenfalls darunterfallen, sofern eine nahe, echte und tatsächlich gelebte Beziehung vorliegt. Nach der Rechtsprechung setzt dies indessen zusätzlich voraus, dass zwischen diesen Personen ein eigentliches Abhängigkeitsverhältnis besteht und, da kein gefestigtes Anwesenheitsverhältnis vorliegt, die privaten Interessen der Beschwerdeführerin die öffentlichen Interessen am Vollzug der Dublin-III.VO überwiegen (vgl. zum Ganzen BVGE 2021 VI/1, E. 14-15.5). Ein solches ist weder aus den Akten noch aus den Angaben der Beschwerdeführerin ersichtlich (A13/3; A22/14, F85). Zudem hat sie bereits 2010 ihren Heimatstaat verlassen, alsdann zwölf Jahre in Saudi Arabien gelebt und ist erst seit dem 26. März 2023 in der Schweiz. Es ist nicht ohne Weiteres von einer nahen, echten und tatsächlich gelebten Beziehung - weder zu ihrer Schwester noch zu deren Kindern - auszugehen. Es ist kein eigentliches Abhängigkeitsverhältnis im Sinne der Rechtsprechung zu Art. 8 EMRK ersichtlich, das einer Überstellung nach Frankreich entgegenstehen würde.</w:t>
      </w:r>
    </w:p>
    <w:p>
      <w:r>
        <w:rPr>
          <w:b/>
        </w:rPr>
        <w:t>E. 7</w:t>
      </w:r>
    </w:p>
    <w:p>
      <w:r>
        <w:t>Zusammenfassend ist festzuhalten, dass kein Grund für die (sinngemäss beantragte) Anwendung der Souveränitätsklausel von Art. 17 Dublin-III-VO und Art. 29a Abs. 3 AsylV 1 vorliegt, zumal keine völkerrechtlichen Überstellungshindernisse bestehen, die die Schweiz zum Selbsteintritt verpflichten würden, und, unter dem Blickwinkel, dass der Vorinstanz bei der Anwendung von Art. 29a Abs. 3 AsylV 1 (vgl. BVGE 2015/9 E. 7 f.) Ermessen zukommt, die angefochtene Verfügung ebenfalls nicht zu beanstanden ist. Den Akten sind keine Hinweise auf eine gesetzeswidrige Ermessensausübung respektive ein Über- beziehungsweise Unterschreiten des Ermessens (vgl. Art. 106 Abs. 1 Bst. a AsylG) und damit keine rechtlichen Fehler bei der Ermessensbetätigung durch die Vorinstanz ersichtlich. Frankreich bleibt somit zuständiger Mitgliedstaat gemäss Dublin-III-VO und ist verpflichtet, die Beschwerdeführerin aufzunehmen.</w:t>
      </w:r>
    </w:p>
    <w:p>
      <w:r>
        <w:rPr>
          <w:b/>
        </w:rPr>
        <w:t>E. 8</w:t>
      </w:r>
    </w:p>
    <w:p>
      <w:r>
        <w:t>Das SEM ist demnach zu Recht in Anwendung von Art. 31a Abs. 1 Bst. b AsylG auf das Asylgesuch nicht eingetreten und hat - weil die Beschwerdeführerin nicht im Besitz einer gültigen Aufenthalts- oder Niederlassungsbewilligung ist - in Anwendung von Art. 44 AsylG folgerichtig die Überstellung nach Frankreich angeordnet.</w:t>
      </w:r>
    </w:p>
    <w:p>
      <w:r>
        <w:rPr>
          <w:b/>
        </w:rPr>
        <w:t>E. 9</w:t>
      </w:r>
    </w:p>
    <w:p>
      <w:r>
        <w:t>Die angefochtene Verfügung verletzt demnach Bundesrecht nicht und ist auch sonst nicht zu beanstanden. Die Beschwerde ist abzuweisen und die Verfügung der Vorinstanz zu bestätigen.</w:t>
      </w:r>
    </w:p>
    <w:p>
      <w:r>
        <w:rPr>
          <w:b/>
        </w:rPr>
        <w:t>E. 10</w:t>
      </w:r>
    </w:p>
    <w:p>
      <w:r>
        <w:t>Bei diesem Ausgang des Verfahrens sind die Verfahrenskosten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