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D-513/2013 vom 15. Mai 2013</w:t>
      </w:r>
    </w:p>
    <w:p>
      <w:r>
        <w:t>Bundesverwaltungsgericht, 2013-05-15, DE</w:t>
      </w:r>
    </w:p>
    <w:p>
      <w:r>
        <w:rPr>
          <w:b/>
        </w:rPr>
        <w:t xml:space="preserve">Quelle: </w:t>
      </w:r>
      <w:r>
        <w:t>https://mcp.opencaselaw.ch/entscheid/bvger_D-513_2013</w:t>
      </w:r>
    </w:p>
    <w:p>
      <w:r>
        <w:t>FR: TAF D-513/2013 du 15 mai 2013</w:t>
      </w:r>
    </w:p>
    <w:p>
      <w:r>
        <w:t>IT: TAF D-513/2013 del 15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2.1</w:t>
      </w:r>
    </w:p>
    <w:p>
      <w:r>
        <w:t>Nach Rechtsprechung des Bundesverwaltungsgerichts stellt die Stellung eines Asylgesuches (aus dem Ausland) ein relativ höchstpersönliches Recht dar, das grundsätzlich einen persönlichen Antrag der gesuchstellenden Person voraussetzt. Fehlt ein solcher, stellt ein vertretungsweise eingereichtes Asylgesuch einen Mangel dar, der nur behoben werden kann, indem dessen Inhalt anlässlich einer mündlichen Anhörung oder durch Einreichung einer persönlich verfassten oder - im Falle des berechtigten Verzichts auf eine Befragung - zumindest unterzeichneten Stellungnahme zum Fragenkatalog des BFM bestätigt wird (vgl. BVGE 2011/39 E. 4.3 S. 826 ff).</w:t>
      </w:r>
    </w:p>
    <w:p>
      <w:r>
        <w:rPr>
          <w:b/>
        </w:rPr>
        <w:t>E. 2.2</w:t>
      </w:r>
    </w:p>
    <w:p>
      <w:r>
        <w:t>Mit Schreiben vom 3. Juni 2011 beantragte rubrizierter Rechtsvertreter namens und im Auftrag der in der Schweiz wohnhaften Schwester der Beschwerdeführerin B._______ zu Gunsten der Beschwerdeführerin um Gewährung von Asyl respektive um Erteilung einer Einreisebewilligung zwecks Durchführung des Asylverfahrens (vgl. unpaginierte BFM-Akte A1/7 S. 1 ff.). Dem Gesuch vom 3. Juni 2011 lag eine Vollmacht bei, auf dem die genannte Schwester der Beschwerdeführerin als Vollmachtgeberin aufgeführt ist (vgl. BFM-act. A1 S. 10). Eine solche, durch genannte Schwester veranlasste, gewillkürte Vertretung der Beschwerdeführerin ist an sich nicht zulässig, da - wie erwähnt - die Stellung eines Asylgesuches ein relativ höchstpersönliches Recht darstellt (vgl. BVGE 2011/39 E. 4.1 S. 824 f.).</w:t>
      </w:r>
    </w:p>
    <w:p>
      <w:r>
        <w:rPr>
          <w:b/>
        </w:rPr>
        <w:t>E. 2.3</w:t>
      </w:r>
    </w:p>
    <w:p>
      <w:r>
        <w:t>Nach Einreichung des schriftlichen Gesuches erfolgte keine mündliche Anhörung der Beschwerdeführerin durch eine Schweizerische Vertretung im Sudan, sondern sie wurde zur persönlichen Beantwortung eines Fragenkatalogs durch das BFM aufgefordert und insbesondere auf erwähnte Rechtsprechung des Bundesverwaltungsgerichts hingewiesen (vgl. unpaginierte BFM-Akte A7 S. 1 ff.). Der Verzicht auf eine Anhörung der Beschwerdeführerin erscheint angesichts der vom BFM aufgezeigten sicherheitstechnischen, strukturellen, und organisatorischen Probleme bei der Botschaft im Sudan begründet (vgl. BVGE 2007/30 E. 5.8 S. 367 f.). Der Rechtsvertreter übermittelte dem BFM mit Schreiben vom 5. Juni 2012 eine durch die Beschwerdeführerin unterzeichnete schriftliche Stellungnahme zum Fragekatalog des BFM, worin diese - nebst Angaben zu ihrer Person - die Angaben im Gesuch vom 3. Juni 2011 bestätigte sowie ergänzende Ausführungen zu ihren Asylgründen machte (vgl. unpaginierte BFM-Akte A8 S. 1 ff.). Damit ist von einem persönlichen Antrag der Beschwerdeführerin gegenüber dem BFM auszugehen. Sie hat somit am Verfahren vor der Vorinstanz teilgenommen. Zudem ist sie durch die angefochtene Verfügung besonders berührt und hat ein schutzwürdiges Interesse an deren Aufhebung beziehungsweise Änderung; sie ist daher zur Einreichung der Beschwerde legitimiert (Art. Art. 105 AsylG i.V.m. Art. 37 VGG und Art. 48 Abs. 1 VwVG). Die Beschwerde ist im Übrigen frist- und - da mithin von einer gewillkürten Vertretung der Beschwerdeführerin durch rubrizierten Rechtsvertreter ausgegangen werden kann - formgerecht eingereicht (Art. 108 Abs. 1 AsylG; Art. 105 AsylG i.V.m. Art. 37 VGG und Art. 52 Abs. 1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4.2</w:t>
      </w:r>
    </w:p>
    <w:p>
      <w:r>
        <w:t>Gemäss Art. 3 Abs. 1 AsylG wird eine ausländische Person als Flüchtling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2 AsylG).</w:t>
      </w:r>
    </w:p>
    <w:p>
      <w:r>
        <w:rPr>
          <w:b/>
        </w:rPr>
        <w:t>E. 4.3</w:t>
      </w:r>
    </w:p>
    <w:p>
      <w:r>
        <w:t>Die Beschwerdeführerin macht eine eigene Gefährdung im Sinne von Art. 3 AsylG i.V.m. Art. 20 AsylG geltend, indem sie vorbringt, sie sei im Mai 2009 einer Razzia respektive einer Zwangsrekrutierung entflohen, da sie nicht bereit gewesen sei, nach Sawa zum Militärdienst einzurücken (vgl. act. A8 S. 2). Das BFM hält in der angefochtenen Verfügung ohne auf dieses Vorbringen näher einzugehen fest, die Ausführungen liessen darauf schliessen, dass die Beschwerdeführerin in Eritrea ernstzunehmende Schwierigkeiten mit den heimatlichen Behörden gehabt habe. Die Vorinstanz geht mithin implizit vom Vorliegen einer Gefährdung der Beschwerdeführerin im Sinne von Art. 3 AsylG im Zeitpunkt der Ausreise aus Eritrea in den Sudan aus, bejaht bei der anschliessenden Prüfung des Asylausschlussgrundes von Art. 52 Abs. 2 AsylG jedoch die Zumutbarkeit ihres Verbleibs im Sudan.</w:t>
      </w:r>
    </w:p>
    <w:p>
      <w:r>
        <w:rPr>
          <w:b/>
        </w:rPr>
        <w:t>E. 4.4</w:t>
      </w:r>
    </w:p>
    <w:p>
      <w:r>
        <w:t>Die von der Beschwerdeführerin geltend gemachten eigenen Asylgründe, sich im Mai 2009 einer Zwangsrekrutierung entzogen zu haben, erscheinen prima facie nicht als unglaubhaft. Es wäre daher nicht auszuschliessen, dass die eritreischen Behörden dies als Dienstverweigerung erachten und ihr deshalb eine - aus politisch motivierten Gründen - unverhältnismässig hohe Strafe drohen könnte (vgl. EMARK 2006 Nr. 3). Bei einer Rückkehr nach Eritrea bestünde daher die Möglichkeit, dass sie ernsthaften Nachteilen im Sinne von Art. 3 Abs. 1 AsylG ausgesetzt sein könnte und ihr in der Folge in Anwendung von Art. 2 AsylG Asyl zu gewähren wäre. Vorausgesetzt ihr weiterer Verbleib im Sudan ist als unzumutbar im Sinne von Art. 52 Abs. 2 AsylG zu erachten, wäre ihr daher die Einreise in die Schweiz zwecks Durchführung des Asylverfahrens zu bewilligen. Anders verhält es sich hingegen mit der - hauptsächlich in ihrem Gesuch vom 3. Juni 2011 - geltend gemachten illegalen Ausreise aus Eritrea. Eine solche, sogenannte Republikflucht kann von Vornherein nicht zur Gewährung von Asyl, sondern gestützt auf Art. 54 AsylG einzig zur Feststellung der Flüchtlingseigenschaft führen (vgl. BVGE 2009/29 E. 5.1 S. 376 f.). Ein Tatbestand, der gemäss der Praxis des Bundesverwaltungsgerichts nicht zur Einreise in die Schweiz berechtigten kann, da es nicht der gesetzlichen Logik entspricht, Personen, die sich im Ausland befinden, die Einreise in die Schweiz zu gewähren, um sie anschliessend - trotz allfälliger Anerkennung als Flüchtlinge - aus der Schweiz wegzuweisen (vgl. BVGE 2012/26 E. 7 S. D-3402/2011 vom 30. Oktober 2012 E. 7 S. 519 f. betreffend subjektive Nachfluchtgründe im Sinne von Art. 54 AsylG, BVGE 2011/10 E. 7 S. 133 betreffend Asylunwürdigkeit im Sinne von Art. 53 AsylG).</w:t>
      </w:r>
    </w:p>
    <w:p>
      <w:r>
        <w:rPr>
          <w:b/>
        </w:rPr>
        <w:t>E. 4.5.1</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4.5.2</w:t>
      </w:r>
    </w:p>
    <w:p>
      <w:r>
        <w:t>In der Praxis erachtet das Bundesverwaltungsgericht in Fällen, in welchen sich Frauen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als zur Schweiz (vgl. BVGE D-3402/2011 vom 30. Oktober 2012 E. 5.2, Urteil D-5430/2012 vom 26. Februar 2013 E. 4.8, Urteil D-2018/2011 vom 14. September 2011 E. 8.1).</w:t>
      </w:r>
    </w:p>
    <w:p>
      <w:r>
        <w:rPr>
          <w:b/>
        </w:rPr>
        <w:t>E. 4.6</w:t>
      </w:r>
    </w:p>
    <w:p>
      <w:r>
        <w:t>Die Beschwerdeführerin hält sich in einem Drittstaat - dem Sudan - auf. Dort kam es in der Vergangenheit in vereinzelten Fällen zu Entführungen von eritreischen Flüchtlingen beziehungsweise zu Deportationen von eritreischen Flüchtlingen nach Eritrea. Nichtsdestotrotz ist gemäss gesicherten Erkenntnissen das Risiko einer Deportation oder Verschleppung für Eritreer, die im Sudan vom UNHCR als Flüchtlinge anerkannt sind, gering, da die sudanesischen Behörden zwar tatsächlich teilweise eritreische Asylsuchende sowie Flüchtlinge deportieren, diese Rückführungen indessen nicht flächendeckend erfolgen (vgl. etwa Urteile E-4417/2011 vom 9. Februar 2012 E. 6.5.3, D-5745/2011 vom 10. Januar 2012 E. 6.1). Anhaltspunkte dafür, dass die Beschwerdeführerin ernsthaft eine Deportation zu befürchten hätte, indem sie etwa infolge qualifizierter regimekritischer Tätigkeiten ein erhöhtes Risikoprofil aufweisen würde, lassen sich den Akten denn auch nicht entnehmen. Im Rahmen der von ihr erstmals in der Beschwerde vom 30. Januar 2013 geschilderten Polizeirazzia vom November 2012 und der damit einhergehenden Festnahme wurde ihr nicht mit einer Deportation gedroht. Ihrem Vorbringen zufolge hat man sie zwecks Erpressung zu einer Geldzahlung festgenommen, ansonsten man sie an Menschenhändler in den Sinai verkauft hätte. Diese polizeiliche Festnahme und die damit verbundene Drohung erscheinen indes - einhergehend mit der Einschätzung des BFM - nicht plausibel. Es erhellt nicht, warum die Beschwerdeführerin - wie in der Replik eingewendet - nicht gewillt ist, weder den zur Verschwiegenheit verpflichteten Schweizerischen Asylbehörden, noch aber ihren Schwestern gegenüber die konkreten Umstände ihres Gefängnisaufenthaltes vom November 2012 zu schildern. Diese bleiben somit unsubstanziiert. Nicht nachvollziehbar ist zudem, weshalb ein solch prägendes Ereignis erst auf Beschwerdeebene und nicht bereits vor Erlass der Verfügung des BFM vom 4. Januar 2013 vorgebracht wurde. Im Weiteren fällt auf, dass ihre Schwester C._______, deren Asylgesuch aus dem Ausland gleichsam am 4. Januar 2013 durch das BFM abgelehnt wurde, weder in ihrem Asyl- noch im Rahmen des anschliessenden Beschwerdeverfahrens bei Bundesverwaltungsgericht diesen Vorfall erwähnte. Hätte sich die Beschwerdeführerin tatsächlich, wie von ihr dargelegt, eine ganze Woche lang in Khartoum in Polizeihaft respektive im Gefängnis befunden, so müsste ein solcher Umstand der im gleichen Haushalt lebenden Schwester aufgefallen respektive bekannt gewesen sein. Die Beschwerdeführerin ist ausserdem ihren Angaben zufolge im Sudan erstmals im Mai 2009 vom UNHCR registriert und einem Flüchtlingscamp zugewiesen worden, hat es den Akten zufolge danach jedoch vorgezogen, sich zunächst in Khartoum bei ihrer Tante aufzuhalten. Nach ihrer Ausreise im November 2009 aus dem Sudan nach Libyen kehrte sie im März 2012 nach Khartoum zurück, wo sie mit ihrem Bruder und ihrer Schwester C._______ in einer Wohngemeinschaft lebte (vgl. act. A8 S. 2 f.). Ihr Bruder ist zwar ihren Angaben zufolge im Jahre 2012 verstorben (vgl. act. A8 S. 1). Ihre Schwester C._______ lebt jedoch nach wie vor mit ihr zusammen in einer Wohnung in Khartoum. Deren Asylgesuch aus dem Ausland vom 3. Juni 2011 wurde - wie zuvor erwähnt - vom BFM mit Verfügung vom 4. Januar 2013 abgelehnt. Dieser Entscheid wurde mit Aussprechung des Urteils E-404/2013 des Bundesverwaltungsgerichts vom 8. Februar 2013 rechtskräftig. Nebst genannter Schwester befindet sich zudem eine Tante der Beschwerdeführerin in Khartoum. Den Akten der Schwester B._______ ist zu entnehmen, dass sich die Tante bereits seit langem im Sudan aufhält und diese demnach dort über einen Aufenthaltsstatus sowie auch ein soziales Netz verfügen dürfte (vgl. Verfahrensakten BFM: N [...] act. A9/14 S. 7). Wie den weiteren Aussagen von B._______ zu entnehmen ist, hatten die Eltern von 1983 bis (...) und damit über zehn Jahre lang ihren Wohnsitz im Sudan (vgl. BFM-Akten N [...], act. A1/10 S. 2, act. 9/14 S. 3). Es ist daher davon auszugehen, dass die Eltern im Sudan nicht nur über ein Beziehungsnetz, sondern auch über ein Aufenthaltsrecht verfügt haben. Diese Annahme wird dadurch bekräftigt, dass die Schwester B._______ trotz Wegzugs ihrer Eltern im Jahre (...) nach Eritrea noch bis im Jahre 2000 in E._______, Sudan, zur Schule ging sowie während ihrer Aufenthalte im Sudan bei ihrer Tante sowie weiteren Bekannten lebte (vgl. BFM-Akten N [...], act A1/10 S. 2, act. 9/14 S. 6 ff.). Die Beschwerdeführerin selber wurde ein Jahr vor der Rückreise ihrer Eltern nach Eritrea im Sudan geboren, weshalb anzunehmen ist, dass ihr dort - zumindest in jenem Zeitpunkt -(ebenfalls) ein rechtmässiger Aufenthaltsstatus zukam. Unabhängig von der Frage nach einem solchen (ehemals) vorhandenen Aufenthaltsrecht ist jedoch gemäss erwähnten Faktoren nicht nur auf ein familiäres respektive soziales Beziehungsnetz der Beschwerdeführerin im Sudan, sondern auch auf eine gewisse Beziehungsnähe zu diesem Staat, in dem sie sich seit nunmehr geraumer Zeit aufhält, zu schliessen. Ihr war es ausserdem nicht nur möglich, im Sudan zusammen mit ihrer Schwester und ihrem zwischenzeitlich verstorbenen Bruder eine Wohnung zu mieten, sondern, wenn auch in bescheidenem Rahmen, einer Arbeit nachzugehen (vgl. act. A8 S. 3). Bei Bedarf könnte sie zudem - wie erwähnt - auf ihre Tante, bei der sie sich bereits einmal aufgehalten und sicher gefühlt habe (vgl. act. A8 S. 2) sowie allenfalls weitere Bekannte zurückgreifen, die sie unterstützen könnten. Den Akten zufolge weist sie demgegenüber zur Schweiz keine besonders enge - kulturelle oder sprachliche - Bindung auf. Der einzige und damit nicht überwiegend gewichtige Anknüpfungspunkt in der Schweiz, ist ihre hier wohnhafte Schwester B._______. Schliesslich vermag auch der Umstand, dass die Beschwerdeführerin Christin ist, an diesen Einschätzungen nichts zu ändern. Wie vom BFM zutreffend in der Vernehmlassung erwogen, ist im Sudan die Religionsfreiheit in der Verfassung verankert und es wird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vorkommen. Konkrete Anhaltspunkte dafür, dass die Beschwerdeführerin als Ausländerin einer erhöhten Gefahr einer solchen Diskriminierung ausgesetzt gewesen wäre respektive eine solche konkret zu befürchten hätte, liegen nicht vor.</w:t>
      </w:r>
    </w:p>
    <w:p>
      <w:r>
        <w:rPr>
          <w:b/>
        </w:rPr>
        <w:t>E. 4.7</w:t>
      </w:r>
    </w:p>
    <w:p>
      <w:r>
        <w:t>Das BFM hat somit zu Recht die Bewilligung der Einreise der Beschwerdeführerin in die Schweiz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die Kosten von Fr. 600.- grundsätzlich der Beschwerdeführerin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