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D-5134/2021 vom 1. Dezember 2021</w:t>
      </w:r>
    </w:p>
    <w:p>
      <w:r>
        <w:t>Bundesverwaltungsgericht, 2021-12-01, DE</w:t>
      </w:r>
    </w:p>
    <w:p>
      <w:r>
        <w:rPr>
          <w:b/>
        </w:rPr>
        <w:t xml:space="preserve">Quelle: </w:t>
      </w:r>
      <w:r>
        <w:t>https://mcp.opencaselaw.ch/entscheid/bvger_D-5134_2021</w:t>
      </w:r>
    </w:p>
    <w:p>
      <w:r>
        <w:t>FR: TAF D-5134/2021 du 1 décembre 2021</w:t>
      </w:r>
    </w:p>
    <w:p>
      <w:r>
        <w:t>IT: TAF D-5134/2021 del 1 dicembre 2021</w:t>
      </w:r>
    </w:p>
    <w:p>
      <w:pPr>
        <w:pStyle w:val="Heading2"/>
      </w:pPr>
      <w:r>
        <w:t>Regeste</w:t>
      </w:r>
    </w:p>
    <w:p>
      <w:r>
        <w:t>Nichteintreten auf Asylgesuch und Wegweisung (Dublin-Verfahren)</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1986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Der nach der Dublin-III-VO zuständige Mitgliedstaat ist verpflichtet, eine antragsstellende Person, die während der Prüfung seines Antrags in einem anderen Mitgliedstaat einen Antrag gestellt hat oder der sich im Hoheitsgebiet eines anderen Mitgliedstaats ohne Aufenthaltstitel aufhält, nach Massgabe der Art. 23, 24, 25 und 29 wiederaufzunehmen (Art. 18 Abs. 1 Bst. b Dublin-III-VO). Die Dublin-III-VO räumt den Schutzsuchenden kein Recht ein, den ihren Antrag prüfenden Staat selber auszuwählen (vgl. BVGE 2010/45 E. 8.3).</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Der Abgleich der Fingerabdrücke der Beschwerdeführenden mit der "Eurodac"-Datenbank ergab, dass diese am (...) 2021 in Slowenien ein Asylgesuch eingereicht hatten. Das SEM ersuchte deshalb die slowenischen Behörden am 28. Oktober 2021 um Wiederaufnahme der Beschwerdeführenden gestützt auf Art. 18 Abs. 1 Bst. b Dublin-III-VO. Die slowenischen Behörden stimmten dem Gesuch um Übernahme am 9. November 2021 ausdrücklich zu. Die grundsätzliche Zuständigkeit Sloweniens ist somit gegeben.</w:t>
      </w:r>
    </w:p>
    <w:p>
      <w:r>
        <w:rPr>
          <w:b/>
        </w:rPr>
        <w:t>E. 6.1</w:t>
      </w:r>
    </w:p>
    <w:p>
      <w:r>
        <w:t>Im Sinne von Art. 3 Abs. 2 Dublin-III-VO ist zunächst zu prüfen, ob es wesentliche Gründe für die Annahme gibt, das Asylverfahren und die Aufnahmebedingungen für Asylsuchende in Slowenien würden systemische Schwachstellen aufweisen, die eine Gefahr einer unmenschlichen oder entwürdigenden Behandlung im Sinne des Art. 4 EU-Grundrechtecharta mit sich bringen würden. Wie die Vorinstanz zutreffend festgehalten hat, gibt es keine wesentlichen Gründe für die Annahme, das Asylverfahren und die Aufnahmebedingungen für Antragstellende in Slowenien würden systemische Schwachstellen im Sinne von Art. 3 Abs. 2 Sätze 2 und 3 Dublin-III-VO aufweisen, die eine Gefahr einer unmenschlichen Behandlung im Sinne des Art. 4 der EU-Grundrechtecharta mit sich bringen würden (vgl. Urteile des BVGer F-4527/2021 vom 1. November 2021 E. 4; E-3280/2021 vom 21. Juli 2021 E. 5.2.2; D-715/2021 vom 19. Februar 2021 S. 6; F-4659/2020 vom 24. September 2020 E. 4.1; F-3660/2020 vom 22. Juli 2020 E. 4.1). So ist Slowenien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Auch wenn die Umstände der Unterbringung im slowenischen Asylsystem nicht denjenigen in der Schweiz entsprechen und die Beschwerdeführenden sich in der ihnen zugewiesenen Unterkunft wie in einem "Gefängnis" gefühlt haben, vermögen diese Einwände die Vermutung der Einhaltung der völkerrechtlichen Pflichten durch Slowenien nicht umzustossen. Ernsthafte Hinweise für systemische Schwachstellen betreffend Asylverfahren und Aufnahmebedingungen in Slowenien vermochten die Beschwerdeführer folglich nicht darzulegen. Unter diesen Umständen ist die Anwendung von Art. 3 Abs. 2 Dublin-III-VO nicht gerechtfertigt.</w:t>
      </w:r>
    </w:p>
    <w:p>
      <w:r>
        <w:rPr>
          <w:b/>
        </w:rPr>
        <w:t>E. 7.1</w:t>
      </w:r>
    </w:p>
    <w:p>
      <w:r>
        <w:t>Die Beschwerdeführenden brachten vor, sie seien nach ihrer Ankunft in Slowenien als Quarantänemassnahme während zehn Tagen in einem Zimmer eingesperrt worden, sie hätten weder Zugang zu medizinischer Versorgung noch finanzielle oder rechtliche Unterstützung erhalten und die Beschwerdeführerinnen hätten in Slowenien keine Schule besuchen oder eine Ausbildung machen können. Damit fordern sie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7.2</w:t>
      </w:r>
    </w:p>
    <w:p>
      <w:r>
        <w:t>Die Beschwerdeführenden haben - schon angesichts der konkreten Wiederaufnahme-Zusicherung Sloweniens - kein konkretes und ernsthaftes Risiko dargetan, die slowenischen Behörden würden sich weigern, sie (wieder) aufzunehmen und in der Folge ihren Antrag auf internationalen Schutz unter Einhaltung der Regeln der erwähnten Richtlinien zu prüfen. Den Akten sind überdies keine Gründe für die Annahme zu entnehmen, Slowenien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Sie wurden in Slowenien - wenn auch angeblich gegen ihren Willen - als Asylsuchende registriert und haben das Land verlassen, bevor ihre Asylgesuche bearbeitet werden konnten. Ihre Ausreise erfolgte somit freiwillig und die slowenischen Behörden haben nicht versucht, sie ohne Prüfung ihrer Asylgesuche in ein Land zu bringen, wo ihnen eine völkerrechtlich verbotene Behandlung droht. Die Beschwerdeführenden haben ebenso wenig dargetan, die ihnen bei einer Rückführung erwartenden Bedingungen in Slowenien seien derart schlecht, dass sie zu einer Verletzung von Art. 4 der EU-Grundrechtecharta, Art. 3 EMRK oder Art. 3 FoK führen könnten. Im Weiteren ergeben sich aus den Akten keine Hinweise für die Annahme, Slowenien würde ihnen dauerhaft die ihnen gemäss Aufnahmerichtlinie zustehenden minimalen Lebensbedingungen vorenthalten. Bei einer diesbezüglichen Einschränkung steht es ihnen offen, sich an die zuständigen slowenischen Behörden zu wenden und die ihnen zustehenden Aufnahmebedingungen auf dem Rechtsweg einzufordern (vgl. Art. 26 Aufnahmerichtlinie). Ferner obliegt es den slowenischen Behörden, das Anliegen des Beschwerdeführers bezüglich eines Schulbesuchs bzw. einer Ausbildung für seine beiden Töchter zu prüfen und allenfalls zu ermöglichen. Im Übrigen verfügt das Land über eine Polizeibehörde, die sowohl als schutzwillig als auch als schutzfähig gilt und deren Hilfe der Beschwerdeführer in Anspruch nehmen könnte. Sollte er sich von einem Polizeibeamten ungerecht behandelt fühlen, steht es ihm offen, sich an die nächsthöhere Stelle zu wenden. Ferner sind keine konkreten Anhaltspunkte dafür ersichtlich, die Beschwerdeführenden gerieten im Falle einer Wegweisung nach Slowenien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slowenischen Justizbehörden zu wenden. Ebenso können sie an die zuständigen Stellen gelangen, sollten sie sich von den slowenischen Behörden oder Privatpersonen in anderer Weise ungerecht oder rechtswidrig behandelt fühlen. Es ist in diesem Zusammenhang schliesslich daran zu erinnern, dass die Dublin-III-VO den Schutzsuchenden kein Recht einräumt, den ihren Antrag prüfenden Staat selber auszuwählen (vgl. BVGE 2010/45 E. 8.3).</w:t>
      </w:r>
    </w:p>
    <w:p>
      <w:r>
        <w:rPr>
          <w:b/>
        </w:rPr>
        <w:t>E. 7.3</w:t>
      </w:r>
    </w:p>
    <w:p>
      <w:r>
        <w:t>Die Beschwerdeführenden berufen sich sodann auf ihren angeschlagenen Gesundheitszustand, der einer Überstellung nach Slowenien entgegenstehe.</w:t>
      </w:r>
    </w:p>
    <w:p>
      <w:r>
        <w:rPr>
          <w:b/>
        </w:rPr>
        <w:t>E. 7.3.1.1</w:t>
      </w:r>
    </w:p>
    <w:p>
      <w:r>
        <w:t>Der Beschwerdeführer machte bereits anlässlich des Dublin-Gesprächs vom 4. Oktober 2021 geltend, er leide an (...), (...) und (...). Ausserdem habe er Beschwerden (...) und (...), weswegen er bereits im BAZ E._______ einen Arzt aufgesucht habe. Aus dem medizinischen Datenblatt für interne Arztbesuche im BAZ E._______ geht hervor, dass am 28. September 2021 eine ärztliche Konsultation stattfand (vgl. SEM-Akte 110155-25/1). Dabei wurde festgehalten, dass der Beschwerdeführer gemäss eigenen Angaben regelmässig die Medikamente (...), (...) sowie bei Bedarf (...) einnahm. Weiter gab der Beschwerdeführer anlässlich der Befragung an, an (...), (...) und (...) sowie (...) zu leiden (vgl. SEM-Akte 110155-26/1). Gemäss ärztlichem Kurzbericht des BAZ E._______ vom 3. September 2021 wurden beim Beschwerdeführer (...) festgestellt. Er wurde in der Folge mit (...) medikamentös behandelt. Des Weiteren wurden bei ihm (...) entdeckt. Diesbezüglich wurde er zur weiteren Diagnostik und Therapie an die (...) verwiesen (vgl. SEM-Akte 110155-27/3). Am 5. Oktober 2021 wurde der Beschwerdeführer wegen seinen (...) geröntgt (vgl. SEM-Akte 110155-25/1). Dabei konnte gemäss Befundbericht vom 5. Oktober 2021 kein röntgendichter Fremdköper nachgewiesen werden und der ossäre Befund des (...) fiel normal aus (vgl. SEM-Akte 110155-31/1). Dem Notfallbericht vom 12. Oktober 2021 ist zu entnehmen, dass beim Beschwerdeführer (...) festgestellt wurden, weshalb er an die (...) überwiesen wurde. Bezüglich der diagnostizierten (...) wurde ihm zur Behandlung das Medikament (...) verschrieben und es erfolgte eine Zuweisung ins (...) (vgl. SEM-Akte 110155-30/1). Mit Eingabe vom 18. November 2021 liess der Beschwerdeführer durch seine Rechtsvertretung mitteilen, dass gemäss dem beigelegten Notfallbericht vom 9. November 2021 aufgrund seiner (...) eine Magnetresonanztomographie (MRI) angeordnet worden sei (vgl. SEM-Akte 110155-39/1) und zur Behandlung seiner (...) am (...) 2021 eine Operation im (...) geplant sei (vgl. SEM-Akte 110155-38/1).</w:t>
      </w:r>
    </w:p>
    <w:p>
      <w:r>
        <w:rPr>
          <w:b/>
        </w:rPr>
        <w:t>E. 7.3.1.2</w:t>
      </w:r>
    </w:p>
    <w:p>
      <w:r>
        <w:t>Die Beschwerdeführerin 1 machte während des erstinstanzlichen Verfahrens keine gesundheitlichen Beschwerden geltend (vgl. SEM-Akte 1110155-22/4).</w:t>
      </w:r>
    </w:p>
    <w:p>
      <w:r>
        <w:rPr>
          <w:b/>
        </w:rPr>
        <w:t>E. 7.3.1.3</w:t>
      </w:r>
    </w:p>
    <w:p>
      <w:r>
        <w:t>Bezüglich des Gesundheitszustands seiner jüngeren Tochter (der Beschwerdeführerin 2), welche aufgrund ihres Alters von der Vorinstanz nicht befragt wurde, führte der Beschwerdeführer anlässlich des Dublin-Gesprächs vom 4. Oktober 2021 aus, ihr (...) sei bereits in Montenegro geröntgt worden. Seitdem ihr von einem Arzt des BAZ E._______ Medikamente verschrieben worden seien, gehe es ihr wieder besser (vgl. SEM-Akte 1110155-20/5).</w:t>
      </w:r>
    </w:p>
    <w:p>
      <w:r>
        <w:rPr>
          <w:b/>
        </w:rPr>
        <w:t>E. 7.3.1.4</w:t>
      </w:r>
    </w:p>
    <w:p>
      <w:r>
        <w:t>Auf Beschwerdeebene brachten die Beschwerdeführenden vor, sie seien physisch und mental belastet.</w:t>
      </w:r>
    </w:p>
    <w:p>
      <w:r>
        <w:rPr>
          <w:b/>
        </w:rPr>
        <w:t>E. 7.3.2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7.3.3</w:t>
      </w:r>
    </w:p>
    <w:p>
      <w:r>
        <w:t>Ohne die gesundheitlichen Beeinträchtigungen des Beschwerdeführers verharmlosen zu wollen, handelt es sich bei ihm nach dem Gesagten nicht um eine schwer kranke Person im Sinne der oben beschriebenen Rechtsprechung des EGMR. Es ist nicht ersichtlich, weshalb die nötige medizinische Behandlung nicht auch in Slowenien erfolgen könnte. Ebenso vermag die unbelegt gebliebene Behauptung der Rechtsvertretung der Beschwerdeführenden vom 18. November 2021, wonach ein operativer Eingriff zur (...) des Beschwerdeführers am (...) 2021 bevorstehe (vgl. SEM-Akte 1110155-38/1), nicht zu einer anderen Einschätzung zu führen. Die Operation kann gegebenenfalls auch in Slowenien durchgeführt werden. Nicht anders verhält es sich mit der angeblich gesundheitlichen Beeinträchtigung des (...) der Beschwerdeführerin 2. Da auf Beschwerdeebene keine aktuellen medizinischen Unterlagen oder aktuelle Arztberichte zu den Akten gereicht wurden, ist sodann davon auszugehen, dass sich die lediglich pauschal geltend gemachte physische und mentale Belastung der Beschwerdeführenden nicht weiter verschlimmert hat. Die Beschwerdeführenden konnten jedenfalls nicht nachweisen, dass sie nicht reisefähig seien oder eine Überstellung ihre Gesundheit ernsthaft gefährden würde. Ihre gesundheitlichen Beschwerden vermögen eine Unzulässigkeit im Sinne der oben zitierten restriktiven Rechtsprechung nicht zu rechtfertigen. Ausserdem stellen die erwähnten gesundheitlichen Probleme kein schweres medizinisches Leiden dar, welches nach der Ankunft in Slowenien eine sofortige und lückenlose medizinische Versorgung im Sinne der Rechtsprechung erfordern würde. Die gesundheitlichen Probleme sind zudem nicht von einer derartigen Schwere, dass aus humanitären Gründen von einer Überstellung abgesehen werden müsste.</w:t>
      </w:r>
    </w:p>
    <w:p>
      <w:r>
        <w:rPr>
          <w:b/>
        </w:rPr>
        <w:t>E. 7.3.4</w:t>
      </w:r>
    </w:p>
    <w:p>
      <w:r>
        <w:t>Im Übrigen ist allgemein bekannt, dass Slowenien über eine ausreichende medizinische Infrastruktur verfügt (vgl. hierzu beispielsweise Urteile des BVGer F-1643/2021 vom 19. April 2021 E. 7.7; F-3660/2020 vom 22. Juli 2020 E. 4.2).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sodann die erforderliche medizinische oder sonstige Hilfe (einschliesslich nötigenfalls einer geeigneten psychologischen Betreuung) zu gewähren (Art. 19 Abs. 2 Aufnahmerichtlinie). Es liegen keine Hinweise vor, wonach Slowenien den Beschwerdeführenden eine adäquate medizinische Behandlung (konkret Fortführung der Medikation, allenfalls psychiatrische oder psychotherapeutische Betreuung) verweigern würde. Alsdann gilt es festzuhalten, dass die schweizerischen Behörden, welche mit dem Vollzug der angefochten Verfügung beauftragt sind, den medizinischen Umständen bei der Bestimmung der konkreten Modalitäten der Überstellung der Beschwerdeführenden Rechnung tragen und die slowenischen Behörden - sofern notwendig - vorgängig in geeigneter Weise über die spezifischen medizinischen Umstände informieren (vgl. Art. 31 f. Dublin-III-VO). Diesbezüglich stellte das SEM bereits in der angefochtenen Verfügung fest, dem aktuellen Gesundheitszustand werde bei der Organisation der Überstellung nach Slowenien Rechnung getragen, indem es die slowenischen Behörden im Sinne von Art. 31 und Art. 32 Dublin-III-VO vor der Überstellung über den Gesundheitszustand und eine allenfalls notwendige medizinische Behandlung informiere. Damit kann eine ununterbrochene und angemessene Weiterbehandlung gewährleistet werden. Anzumerken bleibt, dass einer allfälligen im Wegweisungszeitpunkt auftretenden Suizidalität ebenfalls im Rahmen der Vollzugsmodalitäten Rechnung zu tragen wäre (vgl. statt vieler Urteil des BVGer F-1123/2021 vom 24. März 2021 E. 5.3 m.w.H.).</w:t>
      </w:r>
    </w:p>
    <w:p>
      <w:r>
        <w:rPr>
          <w:b/>
        </w:rPr>
        <w:t>E. 7.3.5</w:t>
      </w:r>
    </w:p>
    <w:p>
      <w:r>
        <w:t>Der aktuelle Gesundheitszustand der Beschwerdeführenden führt somit für den Fall einer Überstellung nach Slowenien im Rahmen des Dublin-Verfahrens nicht zur Annahme einer drohenden Verletzung von Art. 3 EMRK.</w:t>
      </w:r>
    </w:p>
    <w:p>
      <w:r>
        <w:rPr>
          <w:b/>
        </w:rPr>
        <w:t>E. 7.4</w:t>
      </w:r>
    </w:p>
    <w:p>
      <w:r>
        <w:t>Im Übrigen ist davon auszugehen, dass Slowenien über die zur Wahrung des Kindeswohl nötigen Strukturen verfügt. Dennoch ist es angezeigt, das SEM anzuweisen, die slowenischen Behörden vorgängig in geeigneter Weise über die interfamiliären Konflikte zu informieren (vgl. Art. 31 Dublin-III-VO).</w:t>
      </w:r>
    </w:p>
    <w:p>
      <w:r>
        <w:rPr>
          <w:b/>
        </w:rPr>
        <w:t>E. 7.5</w:t>
      </w:r>
    </w:p>
    <w:p>
      <w:r>
        <w:t>Nach dem Gesagten ist die Überstellung nach Slowenien unter Beachtung der massgebenden völkerrechtlichen Bestimmungen als zulässig zu erkennen, womit keine zwingenden Gründe für einen Selbsteintritt auf die Asylgesuche der Beschwerdeführenden nach Art. 17 Abs. 1 Dublin-III-VO ersichtlich sind.</w:t>
      </w:r>
    </w:p>
    <w:p>
      <w:r>
        <w:rPr>
          <w:b/>
        </w:rPr>
        <w:t>E. 7.6</w:t>
      </w:r>
    </w:p>
    <w:p>
      <w:r>
        <w:t>Gemäss Praxis des Bundesverwaltungsgerichts verfügt das SEM bei der Anwendung der Kann-Bestimmung von Art. 29a Abs. 3 AsylV 1 über einen Ermessensspielraum (vgl. BVGE 2015/9 E. 7 f.). Aufgrund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w:t>
      </w:r>
    </w:p>
    <w:p>
      <w:r>
        <w:rPr>
          <w:b/>
        </w:rPr>
        <w:t>E. 8</w:t>
      </w:r>
    </w:p>
    <w:p>
      <w:r>
        <w:t>Nach dem Gesagten bleibt Slowenien der für die Behandlung der Asylgesuche der Beschwerdeführenden zuständige Mitgliedstaat gemäss Dublin-III-VO.</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Slowenien in Anwendung von Art. 44 AsylG ebenfalls zu Recht angeordnet (Art. 32 Bst. a AsylV 1).</w:t>
      </w:r>
    </w:p>
    <w:p>
      <w:r>
        <w:rPr>
          <w:b/>
        </w:rPr>
        <w:t>E. 10</w:t>
      </w:r>
    </w:p>
    <w:p>
      <w:r>
        <w:t>Da das Fehlen von Überstellungshindernissen bereits Voraussetzung des Nichteintretensentscheids gemäss Art. 31a Abs. 1 Bst. b AsylG ist, sind allfällige Vollzugshindernisse gemäss Art. 83 Abs. 3 und 4 des Bundesgesetzes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Mit dem vorliegenden Urteil ist das Beschwerdeverfahren abgeschlossen, weshalb sich der Antrag auf Gewährung der aufschiebenden Wirkung als gegenstandslos erweist.</w:t>
      </w:r>
    </w:p>
    <w:p>
      <w:r>
        <w:rPr>
          <w:b/>
        </w:rPr>
        <w:t>E. 13.1</w:t>
      </w:r>
    </w:p>
    <w:p>
      <w:r>
        <w:t>Es verbleibt der Entscheid über die Verfahrenskosten und eine allfällige Entschädigung. Diese sind nach Massgabe des Unterliegens respektive des Obsiegens zu berechnen (Art. 63 Abs.1 und Art. 64 Abs. 1 VwVG).</w:t>
      </w:r>
    </w:p>
    <w:p>
      <w:r>
        <w:rPr>
          <w:b/>
        </w:rPr>
        <w:t>E. 13.2</w:t>
      </w:r>
    </w:p>
    <w:p>
      <w:r>
        <w:t>Die Behandlung des Gesuchs um Verzicht auf die Erhebung eines Kostenvorschusses erübrigt sich mit dem vorliegenden abschliessenden Urteil in der Sache.</w:t>
      </w:r>
    </w:p>
    <w:p>
      <w:r>
        <w:rPr>
          <w:b/>
        </w:rPr>
        <w:t>E. 13.3</w:t>
      </w:r>
    </w:p>
    <w:p>
      <w:r>
        <w:t>Bei diesem Ausgang des Verfahrens sind die Kosten grundsätzlich den Beschwerdeführenden aufzuerlegen (Art. 63 Abs. 1 VwVG). Das Gesuch um Gewährung der unentgeltlichen Prozessführung im Sinne von Art. 65 Abs. 1 VwVG ist abzuweisen, weil sich die Beschwerde entsprechend den vorstehenden Erwägungen bereits bei Eingang der Begehren, unbesehen der geltend gemachten Bedürftigkeit, als aussichtlos erwiesen hat. Demzufolge haben die Beschwerdeführenden die Verfahrenskosten in der Höhe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