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D-5130/2015 vom 19. Juni 2017</w:t>
      </w:r>
    </w:p>
    <w:p>
      <w:r>
        <w:t>Bundesverwaltungsgericht, 2017-06-19, DE</w:t>
      </w:r>
    </w:p>
    <w:p>
      <w:r>
        <w:rPr>
          <w:b/>
        </w:rPr>
        <w:t xml:space="preserve">Quelle: </w:t>
      </w:r>
      <w:r>
        <w:t>https://mcp.opencaselaw.ch/entscheid/bvger_D-5130_2015</w:t>
      </w:r>
    </w:p>
    <w:p>
      <w:r>
        <w:t>FR: TAF D-5130/2015 du 19 juin 2017</w:t>
      </w:r>
    </w:p>
    <w:p>
      <w:r>
        <w:t>IT: TAF D-5130/2015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Ein Abgleich der Fingerabdrücke der Beschwerdeführerin mit der Eurodac-Datenbank ergab, dass diese am 10. Juni 2015 in Ungarn als Asylsuchende registriert worden war. Das SEM ersuchte demnach die ungarischen Behörden gestützt auf Art. 18 Abs. 1 Bst. b Dublin-III-VO am 22. Juli 2015 zu Recht um Wiederaufnahme der Beschwerdeführerin. Die ungarischen Behörden liessen das Übernahmeersuchen der Vorinstanz innert der in Art. 23 Abs. 2 Dublin-III-VO vorgesehenen Frist unbeantwortet, womit sie die Zuständigkeit Ungarns implizit anerkannten (Art. 23 Abs. 3 Dublin-III-VO). Die Zuständigkeit Ungarns ist somit grundsätzlich gegeben.</w:t>
      </w:r>
    </w:p>
    <w:p>
      <w:r>
        <w:rPr>
          <w:b/>
        </w:rPr>
        <w:t>E. 4.7</w:t>
      </w:r>
    </w:p>
    <w:p>
      <w:r>
        <w:t>Die Beschwerdeführerin verwies in ihrer - rudimentär verfassten - Beschwerde vom 24. August 2015 lediglich auf die in Ungarn damals herrschende - sich verschlechternde - Lage von Asylsuchenden.</w:t>
      </w:r>
    </w:p>
    <w:p>
      <w:r>
        <w:rPr>
          <w:b/>
        </w:rPr>
        <w:t>E. 4.8</w:t>
      </w:r>
    </w:p>
    <w:p>
      <w:r>
        <w:t>Das SEM zog in seiner Vernehmlassung vom 25. September 2015, in der es sich mit der damaligen Lage von Asylsuchenden in Ungarn befasste, den Schluss, eine Rücküberstellung von asylsuchenden Personen durch die Schweiz in diesen Staat sei sowohl aufgrund der in Ungarn herrschenden Aufnahme- als auch der Verfahrensbedingungen zulässig.</w:t>
      </w:r>
    </w:p>
    <w:p>
      <w:r>
        <w:rPr>
          <w:b/>
        </w:rPr>
        <w:t>E. 4.9</w:t>
      </w:r>
    </w:p>
    <w:p>
      <w:r>
        <w:t>In ihrer - nach Art. 32 Abs. 2 VwVG vorliegend berücksichtigten - Eingabe vom 2. Oktober 2015 wiederholte die Beschwerdeführerin - wie schon dem SEM gegenüber - dass sie in Ungarn grundlos inhaftiert worden sei, kein Essen und Trinken erhalten habe und gesundheitlich angeschlagen sei. Bei einer Überstellung nach Ungarn sei der Zugang zum Asylverfahren nicht garantiert. In der Replik vom 30. Oktober 2015 erklärte sie zudem, eine Rückführung sei nicht gerechtfertigt und beantragte mithin den Selbsteintritt der Schweiz.</w:t>
      </w:r>
    </w:p>
    <w:p>
      <w:r>
        <w:rPr>
          <w:b/>
        </w:rPr>
        <w:t>E. 5.1</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5.2</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Denn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5.3</w:t>
      </w:r>
    </w:p>
    <w:p>
      <w:r>
        <w:t>Aus denselben Gründen, ist es dem Bundesverwaltungsgericht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vorinstanzlichen Akten sowie das Beschwerdedossier, welches ebenfalls Prozessstoff des vorinstanzlichen Verfahrens bilden wird, werden dem SEM zugestellt. Auf die auf Rechtmittelebene im Weiteren dargelegten Ausführungen ist aufgrund der vorliegenden Kassation zum heutigen Zeitpunkt nicht näher einzugehen.</w:t>
      </w:r>
    </w:p>
    <w:p>
      <w:r>
        <w:rPr>
          <w:b/>
        </w:rPr>
        <w:t>E. 5.4</w:t>
      </w:r>
    </w:p>
    <w:p>
      <w:r>
        <w:t>Die Beschwerde ist daher gutzuheissen, soweit damit - wenn auch nur sinngemäss - die Aufhebung der vorinstanzlichen Verfügung beantragt wurde.</w:t>
      </w:r>
    </w:p>
    <w:p>
      <w:r>
        <w:rPr>
          <w:b/>
        </w:rPr>
        <w:t>E. 6.1</w:t>
      </w:r>
    </w:p>
    <w:p>
      <w:r>
        <w:t>Bei diesem Ausgang des Verfahrens sind keine Kosten zu erheben (Art. 63 Abs. 1 und 2 VwVG).</w:t>
      </w:r>
    </w:p>
    <w:p>
      <w:r>
        <w:rPr>
          <w:b/>
        </w:rPr>
        <w:t>E. 6.2</w:t>
      </w:r>
    </w:p>
    <w:p>
      <w:r>
        <w:t>Der vertretenen Beschwerdeführerin ist angesichts ihres Obsiegens in Anwendung von Art. 64 Abs. 1 VwVG und Art. 7 Abs. 1 des Reglements vom 21. Februar 2008 über die Kosten und Entschädigungen vor dem Bundesverwaltungsgericht (VGKE, SR 173.320.2) eine Entschädigung für die ihr erwachsenen notwendigen und verhältnismässig hohen Kosten zuzusprechen. Eine Kostennote wurde nicht zu den Akten gereicht. Auf das Nachfordern einer solchen kann indes verzichtet werden, da sich der notwendige Vertretungsaufwand aufgrund der Akten hinreichend zuverlässig abschätzen lässt. Gestützt auf die in Betracht zu ziehenden Bemessungsfaktoren (Art. 9-13 VGKE) ist der Beschwerdeführerin zu Lasten der Vorinstanz eine Parteientschädigung von Fr. 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