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D-5130/2008 vom 28. November 2008</w:t>
      </w:r>
    </w:p>
    <w:p>
      <w:r>
        <w:t>Bundesverwaltungsgericht, 2008-11-28, DE</w:t>
      </w:r>
    </w:p>
    <w:p>
      <w:r>
        <w:rPr>
          <w:b/>
        </w:rPr>
        <w:t xml:space="preserve">Quelle: </w:t>
      </w:r>
      <w:r>
        <w:t>https://mcp.opencaselaw.ch/entscheid/bvger_D-5130_2008</w:t>
      </w:r>
    </w:p>
    <w:p>
      <w:r>
        <w:t>FR: TAF D-5130/2008 du 28 novembre 2008</w:t>
      </w:r>
    </w:p>
    <w:p>
      <w:r>
        <w:t>IT: TAF D-5130/2008 del 28 novembre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die Verfügung des BFM vom 10. Juni 2008 aufgehoben.</w:t>
      </w:r>
    </w:p>
    <w:p>
      <w:r>
        <w:rPr>
          <w:b/>
        </w:rPr>
        <w:t>E. 2</w:t>
      </w:r>
    </w:p>
    <w:p>
      <w:r>
        <w:t>Die Sache wird zur Feststellung und Würdigung des rechtserheblichen Sachverhalts im Sinne der Erwägungen sowie zur anschliessenden Neubeurteilung an das BFM zurückgewiesen.</w:t>
      </w:r>
    </w:p>
    <w:p>
      <w:r>
        <w:rPr>
          <w:b/>
        </w:rPr>
        <w:t>E. 3</w:t>
      </w:r>
    </w:p>
    <w:p>
      <w:r>
        <w:t>Das Gesuch um Gewährung der unentgeltlichen Rechtspflege wird abgewiesen.</w:t>
      </w:r>
    </w:p>
    <w:p>
      <w:r>
        <w:rPr>
          <w:b/>
        </w:rPr>
        <w:t>E. 4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Eine Parteientschädigung wird nicht zugesprochen.</w:t>
      </w:r>
    </w:p>
    <w:p>
      <w:r>
        <w:rPr>
          <w:b/>
        </w:rPr>
        <w:t>E. 6</w:t>
      </w:r>
    </w:p>
    <w:p>
      <w:r>
        <w:t>Dieses Urteil geht an: den Rechtsvertreter des Beschwerdeführers (Einschreiben; Beilage: Einzahlungsschein) das BFM, Abteilung Aufenthalt und Rückkehrförderung, mit den Akten Ref.-Nr. N (...) (per Kurier; in Kopie) das (...) des Kantons C._______ ad (...) (in Kopie) Der vorsitzende 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