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D-5129/2023 vom 5. Februar 2024</w:t>
      </w:r>
    </w:p>
    <w:p>
      <w:r>
        <w:t>Bundesverwaltungsgericht, 2024-02-05, DE</w:t>
      </w:r>
    </w:p>
    <w:p>
      <w:r>
        <w:rPr>
          <w:b/>
        </w:rPr>
        <w:t xml:space="preserve">Quelle: </w:t>
      </w:r>
      <w:r>
        <w:t>https://mcp.opencaselaw.ch/entscheid/bvger_D-5129_2023</w:t>
      </w:r>
    </w:p>
    <w:p>
      <w:r>
        <w:t>FR: TAF D-5129/2023 du 5 février 2024</w:t>
      </w:r>
    </w:p>
    <w:p>
      <w:r>
        <w:t>IT: TAF D-5129/2023 del 5 febbraio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Angesichts der erwähnten Kompetenzzuteilung und gestützt auf Art. 46a VwVG ist das Bundesverwaltungsgericht ausserdem für die Beurteilung von Beschwerden zuständig, die dem SEM das unrechtmässige Verweigern oder Verzögern einer anfechtbaren Verfügung vorwerfen (vgl. auch Felix Uhlmann/Simone Wälle-Bär, in: Bernhard Waldmann/Patrick L. Krauskopf [Hrsg.], Praxiskommentar VwVG, 3. Aufl., Zürich/Genf 2023, Art. 46a, N 12).</w:t>
      </w:r>
    </w:p>
    <w:p>
      <w:r>
        <w:rPr>
          <w:b/>
        </w:rPr>
        <w:t>E. 2.1</w:t>
      </w:r>
    </w:p>
    <w:p>
      <w:r>
        <w:t>Beschwerden wegen Rechtsverzögerung oder Rechtsverweigerung richten sich gegen den Nichterlass einer anfechtbaren Verfügung. Die Beschwerdelegitimation setzt voraus, dass bei der zuständigen Behörde zuvor ein Begehren um Erlass einer Verfügung gestellt wurde und ein Anspruch darauf besteht. Ein Anspruch ist anzunehmen, wenn die Behörde verpflichtet ist, in Verfügungsform zu handeln, und dem Rechtssuchenden nach Art. 6 i.V.m. Art. 48 Abs. 1 VwVG Parteistellung zukommt (vgl. BVGE 2008/15 E. 3.2 m.w.H.). Die Beschwerdeführerin, die in der Schweiz um Asyl ersucht hat, ist zur Beschwerde legitimiert.</w:t>
      </w:r>
    </w:p>
    <w:p>
      <w:r>
        <w:rPr>
          <w:b/>
        </w:rPr>
        <w:t>E. 2.2</w:t>
      </w:r>
    </w:p>
    <w:p>
      <w:r>
        <w:t>Gegen das unrechtmässige Verzögern oder Verweigern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beziehungsweise der Feststellung einer entsprechenden Rechtsverzögerung hat (vgl. André Moser/Michael Beusch/Lorenz Kneubühler, Prozessieren vor dem Bundesverwaltungsgericht, 3. Aufl., Basel 2022, Rz. 5.2). Angesichts der Einreichung ihres Asylgesuchs vermag die Beschwerdeführerin auch ein schutzwürdiges Interesse geltend zu machen, und auf ihre Beschwerde ist folglich - mit nachfolgender Einschränkung - einzutreten.</w:t>
      </w:r>
    </w:p>
    <w:p>
      <w:r>
        <w:rPr>
          <w:b/>
        </w:rPr>
        <w:t>E. 3.1</w:t>
      </w:r>
    </w:p>
    <w:p>
      <w:r>
        <w:t>Die Prüfungsbefugnis des Bundesverwaltungsgerichts beschränkt sich im vorliegenden Fall auf die Frage, ob eine Rechtsverzögerung vorliegt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m.w.H.).</w:t>
      </w:r>
    </w:p>
    <w:p>
      <w:r>
        <w:rPr>
          <w:b/>
        </w:rPr>
        <w:t>E. 3.2</w:t>
      </w:r>
    </w:p>
    <w:p>
      <w:r>
        <w:t>Im vorliegenden Fall wird durch die Beschwerdeführerin unter anderem beantragt, das SEM sei anzuweisen, auf ihr Asylgesuch einzutreten und sie in der Schweiz vorläufig aufzunehmen. Nach dem soeben Gesagten ist auf diesen Antrag nicht einzutreten.</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vgl. hierzu und zum Folgenden BGE 130 I 312 E. 5.1 und 5.2 m.w.N.). Von einer Rechtsverzögerung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Ebenfalls sind bei der Beurteilung der Angemessenheit der Verfahrensdauer spezialgesetzliche Behandlungsfristen zu berücksichtigen (vgl. etwa Urteil des BVGer E-1438/2018 vom 5. April 2018 E. 3.2 m.w.N.).</w:t>
      </w:r>
    </w:p>
    <w:p>
      <w:r>
        <w:rPr>
          <w:b/>
        </w:rPr>
        <w:t>E. 4.2.1</w:t>
      </w:r>
    </w:p>
    <w:p>
      <w:r>
        <w:t>Im vorliegenden Fall wird durch die Beschwerdeführerin im Wesentlichen geltend gemacht, sie habe am 3. August 2021 ein Asylgesuch gestellt. Seit ihrer Befragung vom 20. September 2021 als mögliches Opfer von Menschenhandel und dem Rückübernahmegesuch an Zypern gleichen Datums sei seitens des SEM kein weiterer Verfahrensschritt erfolgt. Zwar habe die Vorinstanz in der Zwischenzeit zweimal auf Anfragen zum Verfahrensstand geantwortet, selber aktiv sei diese jedoch nicht geworden. Dies wohl aus dem einfachen Grund, dass sie keine Handlungsmöglichkeit sehe, weil die zypriotischen Behörden noch immer nicht auf ihr Rückübernahmegesuch geantwortet hätten. Dies vermöge jedoch die übermässige Verfahrensdauer nicht zu rechtfertigen, da ein Verschulden der Behörde an der Verzögerung nicht vorausgesetzt werde (unter Hinweis auf das Urteil des BVGer E-1808/2020 E. 3.3). Eine Lösung zeichne sich in der Sache auch nicht ab.</w:t>
      </w:r>
    </w:p>
    <w:p>
      <w:r>
        <w:rPr>
          <w:b/>
        </w:rPr>
        <w:t>E. 4.2.2</w:t>
      </w:r>
    </w:p>
    <w:p>
      <w:r>
        <w:t>Dem hält das SEM in seiner Vernehmlassung im Wesentlichen entgegen, die Verfahrensdauer könne nicht den schweizerischen Behörden angelastet werden, da ohne die Zusicherung Zyperns zur Übernahme der Beschwerdeführerin die formellen Voraussetzungen für einen Nichteintretensentscheid gemäss Art. 31a Abs. 1 Bst. a AsyIG nicht gegeben seien. Diese Zusicherung liege trotz Bemühungen seitens des SEM sowie der schweizerischen Vertretung vor Ort bis heute nicht vor. Die aktuelle Verweigerungshaltung der zypriotischen Behörden entbinde Zypern jedoch nicht von der Pflicht zur Wiederaufnahme von Personen, denen dort ein internationaler Schutzstatus gewährt worden sei. Eine gegenteilige Auslegung würde unkooperative Staaten in ihrer Praxis bestärken und die unerwünschte Sekundärmigration fördern. Zudem sei eine Verfahrensdauer von dieser Länge durchaus kein Einzelfall.</w:t>
      </w:r>
    </w:p>
    <w:p>
      <w:r>
        <w:rPr>
          <w:b/>
        </w:rPr>
        <w:t>E. 4.3</w:t>
      </w:r>
    </w:p>
    <w:p>
      <w:r>
        <w:t>Gemäss Art. 31a Abs. 1 Bst. a AsyIG tritt das SEM in der Regel auf Asylgesuche nicht ein, wenn Asylsuchende in einen sicheren Drittstaat nach Art. 6a Abs. 2 Bst. b AsyIG zurückkehren können, in welchem sie sich vorher aufgehalten haben. Im vorliegenden Fall geht aus den Akten sowie den Ausführungen des Staatssekretariats in der Vernehmlassung hervor, dass die zuständigen zypriotischen Behörden zwar anerkennen, dass die Beschwerdeführerin in Zypern über einen gültigen Flüchtlingsstatus verfügt, jedoch hinsichtlich deren Wiederaufnahme die Kooperation zu verweigern scheinen. Es stellt sich damit die Frage, ob die Anerkennung der Beschwerdeführerin als Flüchtling in Zypern in diesem Staat mit einem effektiven Schutz und insbesondere einem dauerhaften Aufenthaltsrecht verbunden ist. Es liegt am SEM, zu prüfen, ob unter diesen Umständen davon die Rede sein kann, die Beschwerdeführerin könne in einen sicheren Drittstaat im Sinne von Art. 6a Abs. 2 Bst. b AsyIG - nämlich Zypern - zurückkehren, und ob auf dieser Grundlage in Anwendung von Art. 31a Abs. 1 Bst. a AsyIG ein Nichteintretensentscheid gefällt werden kann. Die Beurteilung dieser Fragen kann offensichtlich nicht - wie vom SEM aufgrund der Vernehmlassung angenommen zu werden scheint - auf unbestimmte Zeit, nämlich bis zu einem allfällig künftigen kooperativen Verhalten der zypriotischen Behörden, aufgeschoben werden. Ein solches Vorgehen ist weder mit den rechtlichen Ansprüchen der Beschwerdeführerin (vgl. Art. 29 Abs. 1 BV; hierzu zuvor E. 4.1) noch mit den spezialgesetzlichen Vorgaben bezüglich der Behandlungsfristen (vgl. Art. 37 AsylG) vereinbar. Es steht ausser Frage, dass die vorinstanzliche Verfahrensdauer - welche zum Zeitpunkt der Vernehmlassung auf Beschwerdeebene bereits mehr als 26 Monate betrug - im Fall der Beschwerdeführerin dem Anspruch auf Behandlung und auf Beurteilung innert angemessener Frist in keiner Weise gerecht wird. Allein der Umstand, dass die Option eines Nichteintretensentscheides nach Art. 31a Abs. 1 Bst. a AsyIG nicht in Betracht fällt, solange keine Rückübernahmezusicherung der zypriotischen Behörden vorliegt, ändert nichts daran, dass das Asylverfahren der Beschwerdeführerin behandelt werden kann.</w:t>
      </w:r>
    </w:p>
    <w:p>
      <w:r>
        <w:rPr>
          <w:b/>
        </w:rPr>
        <w:t>E. 4.4</w:t>
      </w:r>
    </w:p>
    <w:p>
      <w:r>
        <w:t>Aus dem Gesagten ergibt sich, dass die Dauer des Verfahrens der Beschwerdeführerin vor dem SEM als unangemessen lang zu erachten ist. Die von der Beschwerdeführerin vorgebrachte Rüge, dem SEM sei bei der Behandlung ihres Asylgesuchs eine Rechtsverzögerung vorzuwerfen, ist daher als gerechtfertigt zu erachten.</w:t>
      </w:r>
    </w:p>
    <w:p>
      <w:r>
        <w:rPr>
          <w:b/>
        </w:rPr>
        <w:t>E. 5</w:t>
      </w:r>
    </w:p>
    <w:p>
      <w:r>
        <w:t>Folglich ist die Beschwerde gutzuheissen, soweit auf sie einzutreten ist. Das SEM ist zudem anzuweisen, das Asylgesuch der Beschwerdeführerin ohne weitere Verzögerung zu behandeln und das betreffende Verfahren zum Abschluss zu bringen.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Beschwerdeführerin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1'200.- (inkl. Auslagen)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