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D-5126/2023 vom 4. September 2023</w:t>
      </w:r>
    </w:p>
    <w:p>
      <w:r>
        <w:t>Bundesverwaltungsgericht, 2023-09-04, DE</w:t>
      </w:r>
    </w:p>
    <w:p>
      <w:r>
        <w:rPr>
          <w:b/>
        </w:rPr>
        <w:t xml:space="preserve">Quelle: </w:t>
      </w:r>
      <w:r>
        <w:t>https://mcp.opencaselaw.ch/entscheid/bvger_D-5126_2023_d20230904</w:t>
      </w:r>
    </w:p>
    <w:p>
      <w:r>
        <w:t>FR: TAF D-5126/2023 du 4 septembre 2023</w:t>
      </w:r>
    </w:p>
    <w:p>
      <w:r>
        <w:t>IT: TAF D-5126/2023 del 4 settembre 2023</w:t>
      </w:r>
    </w:p>
    <w:p>
      <w:pPr>
        <w:pStyle w:val="Heading2"/>
      </w:pPr>
      <w:r>
        <w:t>Regeste</w:t>
      </w:r>
    </w:p>
    <w:p>
      <w:r>
        <w:t>Verweigerung vor&amp;uuml;bergehender Schutz | Verweigerung vorübergehender Schutz; Verfügung des SEM vom 4. September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 [SR 142.31]).</w:t>
      </w:r>
    </w:p>
    <w:p>
      <w:r>
        <w:t>D-5126/2023 Seite 4</w:t>
      </w:r>
    </w:p>
    <w:p>
      <w:r>
        <w:rPr>
          <w:b/>
        </w:rPr>
        <w:t>E. 1.2</w:t>
      </w:r>
    </w:p>
    <w:p>
      <w:r>
        <w:t>Das Verfahren richtet sich nach dem VwVG, dem VGG und dem BGG, soweit das AsylG nichts anderes bestimmt (Art. 37 VGG und Art. 6 AsylG.</w:t>
      </w:r>
    </w:p>
    <w:p>
      <w:r>
        <w:rPr>
          <w:b/>
        </w:rPr>
        <w:t>E. 1.3</w:t>
      </w:r>
    </w:p>
    <w:p>
      <w:r>
        <w:t>Die Beschwerde ist – nach Eingang des unterzeichneten Exemplars – frist- und formgerecht eingereicht worden. Die Beschwerdeführerin hat am Verfahren vor der Vorinstanz teilgenommen, ist durch die angefochtene Verfügung besonders berührt und hat ein schutzwürdiges Interesse an de- ren Aufhebung beziehungsweise Änderung. Sie ist daher zur Einreichung der Beschwerde legitimiert (Art. 72 AsylG i.V.m. Art. 108 Abs. 6 AsylG, Art. 48 Abs. 1 und Art. 52 Abs. 1 VwVG). Auf die Beschwerde ist einzutre- ten.</w:t>
      </w:r>
    </w:p>
    <w:p>
      <w:r>
        <w:rPr>
          <w:b/>
        </w:rPr>
        <w:t>E. 1.4</w:t>
      </w:r>
    </w:p>
    <w:p>
      <w:r>
        <w:t>Die Beschwerdefrist ist zwar noch nicht abgelaufen, es ergibt sich aber aus der Beschwerde, dass diese als abschliessend zu verstehen ist, wes- halb das Urteil gefällt werden kann (vgl. Urteil des BVGer E-4045/2023 vom 27. Juli 2023 E. 1.3 m.w.H.).</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Die Beschwerde erweist sich – wie nachfolgend aufgezeigt wird – als of- fensichtlich unbegründet, weshalb sie im Verfahren einzelrichterlicher Zu- ständigkeit mit Zustimmung eines zweiten Richters beziehungsweise einer zweiten Richterin (Art. 111 Bst. e AsylG), ohne Durchführung eines Schrif- tenwechsels und mit summarischer Begründung, zu behandeln ist (Art. 72 AsylG i.V.m. Art. 111a Abs. 1 und 2 AsylG).</w:t>
      </w:r>
    </w:p>
    <w:p>
      <w:r>
        <w:rPr>
          <w:b/>
        </w:rPr>
        <w:t>E. 4.1</w:t>
      </w:r>
    </w:p>
    <w:p>
      <w:r>
        <w:t>Gestützt auf Art. 4 AsylG kann die Schweiz Schutzbedürftigen für die Dauer einer schweren allgemeinen Gefährdung, insbesondere während eines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w:t>
      </w:r>
    </w:p>
    <w:p>
      <w:r>
        <w:t>D-5126/2023 Seite 5 im Zusammenhang mit der Situation in der Ukraine erlassen (BBI 2022 586). Gemäss Ziff. I der Allgemeinverfügung gilt der Schutzstatus S für fol- gende Personenkategorien: a) schutzsuchende ukrainische Staatsbürgerinnen und -bürger und ihre Familienangehörige (Partnerinnen und Partner, minderjährige Kinder und andere enge Verwandte, welche zum Zeitpunkt der Flucht ganz oder teil- weise unterstützt wurden), welche vor dem 24. Februar 2022 in der Ukra- ine wohnhaft waren; b) schutzsuchende Personen anderer Nationalitäten und Staatenlosen ge- mäss Definition in Buchstabe a, welche vor dem 24. Februar 2022 einen internationalen oder nationalen Schutzstatus in der Ukraine hatten; c) Schutzsuchende anderer Nationalität und Staatenlosen sowie ihren Fa- milienangehörigen gemäss Definition in Buchstabe a, welche mit einer gül- tigen Kurzaufenthalts- oder Aufenthaltsbewilligung belegen können, dass sie über eine gültige Aufenthaltsberechtigung in der Ukraine verfügen und nicht in Sicherheit und dauerhaft in ihre Heimatländer zurückkehren kön- nen.</w:t>
      </w:r>
    </w:p>
    <w:p>
      <w:r>
        <w:rPr>
          <w:b/>
        </w:rPr>
        <w:t>E. 5.1</w:t>
      </w:r>
    </w:p>
    <w:p>
      <w:r>
        <w:t>Die Vorinstanz führte zur Begründung der angefochtenen Verfügung im Wesentlichen aus, die Beschwerdeführerin falle nicht unter die Kategorie gemäss Ziff. I Bst. a der Allgemeinverfügung vom 11. März 2022, weil sie zum Zeitpunkt des Kriegsausbruchs nicht in der Ukraine wohnhaft gewe- sen sei. Namentlich habe sie zwischen April 2021 und Februar 2023 mehr oder weniger ununterbrochen in Deutschland gelebt und gearbeitet, womit sich ihr Lebensmittelpunkt dorthin verschoben habe. Dass sie sich in der Ukraine nicht abgemeldet habe und dort ein Haus besitze, ändere daran ebenso wenig wie die kurzzeitigen Besuche in der Heimat seit 2021. Ins- besondere vermöge auch der Aufenthalt in H._______ zwischen Februar 2023 und März 2023 keine Rückverlagerung des Lebensmittelpunktes in die Ukraine zu begründen, dies nicht zuletzt aufgrund der kurzen Dauer, der temporären Natur der Unterkunft und der fehlenden Integration in den dortigen Arbeitsmarkt.</w:t>
      </w:r>
    </w:p>
    <w:p>
      <w:r>
        <w:rPr>
          <w:b/>
        </w:rPr>
        <w:t>E. 5.2</w:t>
      </w:r>
    </w:p>
    <w:p>
      <w:r>
        <w:t>Die Beschwerdeführerin wendet dagegen ein, ihr Lebensmittelpunkt habe sich trotz ihrer Erwerbstätigkeit in Deutschland in der Ukraine befun- den. In Deutschland habe sie lediglich ein Zimmer in einem (…) bewohnt, da ihre Aufenthaltsgenehmigung nur mit einem Arbeitsvertrag gültig</w:t>
      </w:r>
    </w:p>
    <w:p>
      <w:r>
        <w:t>D-5126/2023 Seite 6 gewesen sei und sie wegen ihrer gesundheitlichen Probleme nicht darauf habe vertrauen können, diese Tätigkeit länger auszuüben. Ihr Wohnort K._______ (Oblast H._______) befinde sich seit Ende Februar in russisch besetztem Gebiet, weshalb eine Rückkehr dorthin ausgeschlossen sei.</w:t>
      </w:r>
    </w:p>
    <w:p>
      <w:r>
        <w:rPr>
          <w:b/>
        </w:rPr>
        <w:t>E. 5.3</w:t>
      </w:r>
    </w:p>
    <w:p>
      <w:r>
        <w:t>Dazu ist festzuhalten, dass die Beschwerdeführerin zwar unbestritte- nermassen ukrainische Staatsangehörige ist. Es besteht indes kein Zweifel daran, dass sie vor dem 24. Februar 2022 nicht in der Ukraine wohnhaft war. Sie gab in der Befragung selber an – und bestreitet dies auch in ihrer Beschwerde nicht –, seit dem 28. April 2021 in Deutschland gelebt zu ha- ben und erst nach Kriegsausbruch Anfang März nach H._______ gereist zu sein, um (…) und ihr Enkelkind nach Deutschland zu holen (vgl. SEM- Akten 1241585-17 zu F13 f.). Die Beschwerdeführerin erfüllt die Voraus- setzung(en) gemäss Buchstabe a der Allgemeinverfügung vom 11. März 2022 somit offensichtlich nicht. Daran vermöchte auch die – von der Vo- rinstanz bemerkte, jedoch durch nichts belegte – fehlende Abmeldung aus der Ukraine nichts zu ändern. Die Vorinstanz hat das Gesuch um vorüber- gehenden Schutz demnach zu Recht abgelehnt.</w:t>
      </w:r>
    </w:p>
    <w:p>
      <w:r>
        <w:rPr>
          <w:b/>
        </w:rPr>
        <w:t>E. 6</w:t>
      </w:r>
    </w:p>
    <w:p>
      <w:r>
        <w:t>Die Ablehnung des Gesuchs um Gewährung des vorübergehenden Schut- zes hat in der Regel die Wegweisung aus der Schweiz zur Folge (Art. 69 Abs. 4 AsylG). Da der Beschwerdeführerin vorliegend keine Aufenthaltsbe- willigung erteilt wurde und zudem kein Anspruch auf Erteilung einer sol- chen besteht (vgl. BVGE 2013/37 E. 4.4; 2009/50 E. 9, je m.w.H.), steht die verfügte Wegweisung im Einklang mit den gesetzlichen Bestimmungen und wurde demnach von der Vorinstanz ebenfalls zu Recht angeordnet.</w:t>
      </w:r>
    </w:p>
    <w:p>
      <w:r>
        <w:rPr>
          <w:b/>
        </w:rPr>
        <w:t>E. 7.1</w:t>
      </w:r>
    </w:p>
    <w:p>
      <w:r>
        <w:t>Ist der Vollzug der Wegweisung nicht zulässig, nicht zumutbar oder nicht möglich, so regelt das SEM das Anwesenheitsverhältnis nach den gesetzlichen Bestimmungen über die vorläufige Aufnahme (vgl. Art. 69 Abs. 4 AsylG; Art. 83 Abs. 1 AIG [SR 142.20]).</w:t>
      </w:r>
    </w:p>
    <w:p>
      <w:r>
        <w:t>Gemäss der Praxis des Bundesverwaltungsgerichts sind Wegweisungs- vollzugshindernisse zu beweisen, wenn der strikte Beweis möglich ist, und andernfalls wenigstens glaubhaft zu machen (vgl. BVGE 2011/24 E. 10.2 m.w.H.).</w:t>
      </w:r>
    </w:p>
    <w:p>
      <w:r>
        <w:t>D-5126/2023 Seite 7</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Die Beschwerdeführerin hat in der Schweiz nicht um Asyl nachge- sucht und den Akten sind keine Hinweise auf eine Verletzung des flücht- lingsrechtlichen Refoulement-Verbots (Art. 5 Abs. 1 AsylG, Art. 33 Abs. 1 des Abkommens vom 28. Juli 1951 über die Rechtsstellung der Flüchtlinge [FK, SR 0.142.30]) zu entnehmen. Wie in der angefochtenen Verfügung zutreffend bemerkt wurde, ist ange- sichts der vorliegenden expliziten Zustimmung von Deutschland zur Rück- übernahme davon auszugehen, dass die Beschwerdeführerin nach Deutschland zurückkehren kann; Anhaltspunkte für die Gefahr einer völ- kerrechtswidrigen Kettenabschiebung sind nicht ersichtlich. Schliesslich sind auch keine Anhaltspunkte für eine in Deutschland drohende men- schenrechtswidrige Behandlung im Sinne von Art. 25 Abs. 3 BV, von Art. 3 des Übereinkommens vom 10. Dezember 1984 gegen Folter und andere grausame, unmenschliche oder erniedrigende Behandlung oder Strafe (FoK, SR 0.105) und der Praxis zu Art. 3 EMRK ersichtlich, zumal Deutsch- land als sicherer Drittstaat gilt.</w:t>
      </w:r>
    </w:p>
    <w:p>
      <w:r>
        <w:rPr>
          <w:b/>
        </w:rPr>
        <w:t>E. 7.2.3</w:t>
      </w:r>
    </w:p>
    <w:p>
      <w:r>
        <w:t>Demnach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Die Beschwerdeführerin wies zwar bereits im vorinstanzlichen Ver- fahren auf gesundheitliche Beschwerden hin, erklärte dann aber in der Be- fragung vom 17. Mai 2023, es gebe, abgesehen von ihrer Arbeitsunfähig- keit, keine Gründe, die gegen ihre Rückkehr nach Deutschland sprechen würden; die Schweiz sei schön und sie wolle zumindest momentan</w:t>
      </w:r>
    </w:p>
    <w:p>
      <w:r>
        <w:t>D-5126/2023 Seite 8 beziehungsweise "intuitiv" nicht dorthin zurückkehren (vgl. SEM-Akten 1241585-17 zu F72 und F93–96).</w:t>
      </w:r>
    </w:p>
    <w:p>
      <w:r>
        <w:t>In ihrer Beschwerde macht sie geltend, sie sei bei verschiedenen Ärzten und in Kliniken in Behandlung, und reichte – jeweils in Kopie – verschie- dene Unterlagen (Terminbestätigungen sowie je ein ärztliches Rezept und einen Sprechstundenbericht) der L._______ des J._______ und der M._______ des N._______ ein. Daraus ergibt sich einerseits, dass der Be- schwerdeführerin "(…)", ein (…) vorab zur Behandlung von (…), verschrie- ben wurde. Andererseits wurden gemäss dem Sprechstundenbericht der L._______ vom 28. August 2023 der Verdacht auf (…) an der (…) sowie ein (…) links diagnostiziert. Dabei wurde die operative Entfernung des (…) empfohlen; gemäss dem Schreiben der L._______ wurde zudem für den 5. Oktober 2023 ein Termin in der (…) und für den 13. Oktober 2023 ein Termin für einen ambulanten Eingriff reserviert.</w:t>
      </w:r>
    </w:p>
    <w:p>
      <w:r>
        <w:rPr>
          <w:b/>
        </w:rPr>
        <w:t>E. 7.3.3</w:t>
      </w:r>
    </w:p>
    <w:p>
      <w:r>
        <w:t>Wie das SEM in der angefochtenen Verfügung zutreffend bemerkte, suchte die Beschwerdeführerin bereits im Sommer 2022 – offenbar vorab wegen psychischer Probleme beziehungsweise (…) – in Deutschland ei- nen Arzt auf, welcher ihr Medikamente verabreichte und sie für einen Mo- nat krankschrieb (vgl. SEM-Akten 1241585-17 zu F55–57). Entgegen der Behauptung der Beschwerdeführerin, dort keine richtige Behandlung er- halten zu haben (vgl. SEM-Akten 1241585-17 zu F57) beziehungsweise bei einer Rückkehr die in der Schweiz begonnenen Behandlungen "nicht zeitnah anschliessen" zu können (vgl. Beschwerde), ist davon auszuge- hen, dass die Beschwerdeführerin auch in Deutschland ohne weiteres die erforderliche Behandlung ihrer als nicht lebensbedrohlich zu qualifizieren- den gesundheitlichen Beschwerden (falls nötig, auch der für den 13. Okto- ber 2023 in I._______ geplante Eingriff) erhalten wird.</w:t>
      </w:r>
    </w:p>
    <w:p>
      <w:r>
        <w:t>Sodann verfügt die Beschwerdeführerin über ein Diplom sowie Erfahrung in (…) und über gute Deutschkenntnisse (vgl. SEM-Akten 1241585-17 zu F75). Ihre Chancen, im deutschen (…) wieder eine Anstellung zu finden, sind demnach als durchaus intakt zu bezeichnen. Wie in der angefochte- nen Verfügung ebenfalls zu Recht angeführt wurde, steht es der Beschwer- deführerin auch frei, sich bei andauernder fehlender Erwerbsfähigkeit über ihre Ansprüche auf Sozialleistungen zu informieren und diese geltend zu machen, womit auch eine drohende wirtschaftliche Notlage in Deutschland ausgeschlossen werden kann.</w:t>
      </w:r>
    </w:p>
    <w:p>
      <w:r>
        <w:t>D-5126/2023 Seite 9</w:t>
      </w:r>
    </w:p>
    <w:p>
      <w:r>
        <w:rPr>
          <w:b/>
        </w:rPr>
        <w:t>E. 7.3.4</w:t>
      </w:r>
    </w:p>
    <w:p>
      <w:r>
        <w:t>Nach dem Gesagten ist der Vollzug der Wegweisung auch zumutbar.</w:t>
      </w:r>
    </w:p>
    <w:p>
      <w:r>
        <w:rPr>
          <w:b/>
        </w:rPr>
        <w:t>E. 7.4</w:t>
      </w:r>
    </w:p>
    <w:p>
      <w:r>
        <w:t>Es ist schliesslich auch ohne weiteres von der Möglichkeit des Weg- weisungsvollzugs auszugehen (Art. 83 Abs. 2 AIG), da die Beschwerdefüh- rerin im Besitz eines gültigen ukrainischen Reisepasses sowie einer gülti- gen deutschen Aufenthaltsbewilligung ist und sich Deutschland ausdrück- lich zu ihrer Wiederaufnahme bereit erklärt hat.</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9</w:t>
      </w:r>
    </w:p>
    <w:p>
      <w:r>
        <w:t>Bei diesem Ausgang des Verfahrens sind die Kosten der Beschwerdefüh rerin aufzuerlegen (Art. 63 Abs. 1 VwVG) und auf insgesamt Fr. 750.– fest- zusetzen (Art. 1–3 des Reglements vom 21. Februar 2008 über die Kosten und Entschädigungen vor dem Bundesverwaltungsgericht [VGKE, SR 173.320.2]).</w:t>
      </w:r>
    </w:p>
    <w:p>
      <w:r>
        <w:t>(Dispositiv nächste Seite)</w:t>
      </w:r>
    </w:p>
    <w:p>
      <w:r>
        <w:t>D-5126/2023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