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D-5118/2024 vom 12. August 2024</w:t>
      </w:r>
    </w:p>
    <w:p>
      <w:r>
        <w:t>Bundesverwaltungsgericht, 2024-08-12, DE</w:t>
      </w:r>
    </w:p>
    <w:p>
      <w:r>
        <w:rPr>
          <w:b/>
        </w:rPr>
        <w:t xml:space="preserve">Quelle: </w:t>
      </w:r>
      <w:r>
        <w:t>https://mcp.opencaselaw.ch/entscheid/bvger_D-5118_2024_d20240812</w:t>
      </w:r>
    </w:p>
    <w:p>
      <w:r>
        <w:t>FR: TAF D-5118/2024 du 12 août 2024</w:t>
      </w:r>
    </w:p>
    <w:p>
      <w:r>
        <w:t>IT: TAF D-5118/2024 del 12 agosto 2024</w:t>
      </w:r>
    </w:p>
    <w:p>
      <w:pPr>
        <w:pStyle w:val="Heading2"/>
      </w:pPr>
      <w:r>
        <w:t>Regeste</w:t>
      </w:r>
    </w:p>
    <w:p>
      <w:r>
        <w:t>Nichteintreten auf Asylgesuch und Wegweisung (Dublin-Verfahren - Art. 31a Abs. 1 Bst. b AsylG) | Nichteintreten auf Asylgesuch und Wegweisung (Dublin-Verfahren); Verfügung des SEM vom 12. August 2024</w:t>
      </w:r>
    </w:p>
    <w:p>
      <w:pPr>
        <w:pStyle w:val="Heading2"/>
      </w:pPr>
      <w:r>
        <w:t>Erwägungen</w:t>
      </w:r>
    </w:p>
    <w:p>
      <w:r>
        <w:rPr>
          <w:b/>
        </w:rPr>
        <w:t>E. 11</w:t>
      </w:r>
    </w:p>
    <w:p>
      <w:r>
        <w:t>Februar 2020 E. 6.6.1 und 6.6.7; Urteile des BVGer D-2359/2024 vom 22. April 2024 S. 14, D- 4680/2023 vom 30. Oktober 2023 E. 12, D-5839/2023 vom 27. Oktober 2023 E. 8.3 und E-5821/2023 vom 27. Ok- tober 2023 E. 6), dass jeder Mitgliedstaat abweichend von Art. 3 Abs. 1 Dublin-III-VO be- schliessen kann, einen bei ihm gestellten Antrag auf internationalen Schutz zu prüfen, auch wenn er nach den in dieser Verordnung festgelegten Kri- terien nicht für die Prüfung zuständig ist (Art. 17 Abs. 1 Satz 1 Dublin-III- VO), dass dieses sogenannte Selbsteintrittsrecht im Landesrecht durch Art. 29a Abs. 3 der Asylverordnung 1 vom 11. August 1999 (AsylV 1, SR 142.311) konkretisiert wird und das SEM das Asylgesuch gemäss dieser Bestim- mung «aus humanitären Gründen» auch dann behandeln kann, wenn da- für gemäss Dublin-III-VO ein anderer Staat zuständig wäre, dass Bulgarien Signatarstaat der EMRK, des Übereinkommens vom 10. Dezember 1984 gegen Folter und andere grausame, unmenschliche oder erniedrigende Behandlung oder Strafe (FoK, SR 0.105), des Abkom- mens vom 28. Juli 1951 über die Rechtsstellung der Flüchtlinge (FK, SR 0.142.30) sowie des Zusatzprotokolls der FK vom 31. Januar 1967 (SR 0.142.301) ist und grundsätzlich davon auszugehen ist, dass es sei- nen diesbezüglichen völkerrechtlichen Verpflichtungen nachkommt,</w:t>
      </w:r>
    </w:p>
    <w:p>
      <w:r>
        <w:t>D-5118/2024 Seite 6 dass auch anzunehmen ist, dieser Staat anerkenne und schütze die Rechte, die sich für Schutzsuchende aus den Richtlinien des Europäischen Parlaments und des Rates 2013/32/EU vom 26. Juni 2013 zu gemeinsa- men Verfahren für die Zuerkennung und Aberkennung des internationalen Schutzes (Verfahrensrichtlinie) sowie 2013/33/EU vom 26. Juni 2013 zur Festlegung von Normen für die Aufnahme von Personen, die internationa- len Schutz beantragen (Aufnahmerichtlinie) ergeben, dass die Vermutung, Bulgarien halte seine völker- und gemeinschaftsrecht- lichen Verpflichtungen ein, zwar im Einzelfall widerlegt werden kann, es hierfür aber konkreter und ernsthafter Hinweise bedarf, die von der be- troffenen Person glaubhaft darzutun sind, wobei die vom Beschwerdefüh- rer geübte Kritik am bulgarischen Asylsystem nicht genügt, diese grund- sätzliche Vermutung umzustossen (vgl. BVGE 2010/45 E. 7.4 f.), dass der Beschwerdeführer kein konkretes und ernsthaftes Risiko darge- tan hat, die bulgarischen Behörden würden ihm nach einer Überstellung den Zugang zu einem allfälligen Wiederaufnahmeverfahren unter Einhal- tung der Regeln der Richtlinie des Europäischen Parlaments und des Ra- tes 2013/32/EU vom 26. Juni 2013 zu gemeinsamen Verfahren für die Zu- erkennung und Aberkennung des internationalen Schutzes (sog. Verfah- rensrichtlinie) verweigern, dass den Akten auch keine Gründe für die Annahme zu entnehmen sind, Bulgarien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 dass mit der vom Beschwerdeführer im Dublin-Gespräch und in der Be- schwerde geäusserten Kritik an den schlechten Lebens- und Unterkunfts- bedingungen in Bulgarien sowie mit den Vorbringen zum Diebstahl durch Polizisten und zu nicht geahndeten Übergriffen durch Dritte nicht dargetan wird, die ihn bei einer Rückführung zu erwartenden Bedingungen in Bulga- rien seien derart schlecht, dass sie zu einer Verletzung von Art. 4 der EU- Grundrechtecharta, Art. 3 EMRK oder Art. 3 FoK führen könnten, dass zwar angesichts der Schilderungen des Beschwerdeführers zu ver- muten ist, er habe in Bulgarien keine einfachen Umstände angetroffen, er im Falle einer Rücküberstellung jedoch nicht als Neuankömmling be-</w:t>
      </w:r>
    </w:p>
    <w:p>
      <w:r>
        <w:t>D-5118/2024 Seite 7 handelt, sondern direkt in die dortigen Asylstrukturen aufgenommen würde, und er bei einer allfälligen vorübergehenden Einschränkung der ihm zu- stehenden Aufnahmebedingungen oder im Fall, dass er ungerecht oder rechtswidrig behandelt würde, sich an die bulgarischen Behörden wenden und seine Rechte notfalls auf dem Rechtsweg wird einfordern können, da Bulgarien ein Rechtsstaat mit grundsätzlich funktionierendem Justizsystem ist, dass eine zwangsweise Rückweisung von Personen mit gesundheitlichen Problemen nur ausnahmsweise einen Verstoss gegen Art. 3 EMRK dar- stellen kann (vgl. BVGE 2011/9 E. 7) und die vorliegend geltend gemach- ten und durch Arztberichte belegten Gesundheitsprobleme des Beschwer- deführers (Augenprobleme sowie psychische Probleme) die Feststellung der Unzulässigkeit im Sinne der erwähnten Rechtsprechung nicht zu recht- fertigen vermögen, dass zudem darauf hinzuweisen ist, dass der Beschwerdeführer in Bulga- rien eine medizinische Behandlung und auch zwei Augenoperationen er- halten hat, weshalb davon auszugehen ist, dass er bei Notwendigkeit auch eine weitere Behandlung erhältlich machen könnte, dass dem Bericht der Augenklinik des C._______spitals D._______ vom 5. August 2024, in welchem die Diagnose des B._______-Augenzentrums vom 26. Juli 2024 der Netzhautablösung des linken Auges bestätigt wurde, zu entnehmen ist, dass kein aktueller Operationsbedarf besteht und ledig- lich halbjährliche Verlaufskontrollen angezeigt sind (vgl. act. A22, A24), dass es sich bei den psychischen Problemen gemäss den Abklärungen des Gesundheitsdienstes der Asylunterkunft von August 2024 um bereits seit zehn Jahren bestehende Schlafstörungen handelt und der Verdacht auf PTBS (posttraumatische Belastungsstörung) besteht, dem Beschwer- deführer ein Antidepressivum verschrieben worden ist, und bei einem Nachfolgetermin beim Allgemeinarzt am 21. August 2024 in einer Verlaufs- kontrolle die Wirksamkeit des verschriebenen Medikaments überprüft wer- den solle (vgl. act. A25), dass mit dem SEM der medizinische Sachverhalt damit als ausreichend erstellt zu erachten ist, demnach auch keine (eventualiter beantragte) Rückweisung der Sache an das SEM angezeigt ist, dass es sich nicht um psychische Gesundheitsprobleme handelt, die eine Behandlung durch einen Spezialisten zwingend nötig machen würden, und</w:t>
      </w:r>
    </w:p>
    <w:p>
      <w:r>
        <w:t>D-5118/2024 Seite 8 auch nicht zu erwarten ist, dass die ausstehende Kontrolle der Medikation durch den Allgemeinarzt zu einer gravierenden Veränderung der Diagnose führen wird, dass überdies die Gesundheitsangaben in dem vom Beschwerdeführer eingereichten «Consultation Booklet» aus dem Heimatland (vgl. act. A27) keine aktuellen und entscheidrelevanten Angaben zum psychischen Ge- sundheitszustand enthalten, dass Bulgarien im Übrigen über eine ausreichende medizinische Infra- struktur verfügt, dass es dem Beschwerdeführer obliegt, in Bulgarien allenfalls benötige medizinische Unterstützungsleistungen einzufordern und bei Missständen gegebenenfalls den Rechtsweg zu beschreiten, dass überdies die mit dem Vollzug beauftragten schweizerischen Behör- den dem aktuellen Gesundheitszustand des Beschwerdeführers bei der Organisation der Überstellung nach Bulgarien Rechnung tragen werden, indem sie die dortigen Behörden im Sinne von Art. 31 und Art. 32 Dublin- III-VO vorgängig über den Gesundheitszustand und die notwendige medi- zinische Behandlung des Beschwerdeführers informieren werden, dass demnach keine völkerrechtlichen Überstellungshindernisse beste- hen, dass der Beschwerdeführer – nachdem er nicht als besonders verletzlich einzustufen ist – auch nicht unter die Kategorie von Personen fällt, für die im Kontext mit einer Überstellung nach Bulgarien allenfalls besondere Zu- sicherungen einzuholen wären (vgl. Referenzurteil des BVGer F-7195/2018 vom 11. Februar 2020 E. 6.6.5 und 7.3.2 ff.), dass gemäss Praxis des Bundesverwaltungsgerichts das SEM bei der An- wendung von Art. 29a Abs. 3 AsylV 1 über einen Ermessensspielraum (vgl. BVGE 2015/9 E. 7 f.) verfügt und die angefochtene Verfügung auch unter diesem Blickwinkel nicht zu beanstanden ist, dass schliesslich daran zu erinnern ist, dass weder die Dublin-III-VO noch andere völkerrechtliche Bestimmungen ein Recht einräumen, den für die Durchführung des Asylverfahrens zuständigen Staat, geschweige denn den für eine medizinische Behandlung geeignetsten Staat selber frei zu wählen (vgl. BVGE 2017 VI/7 E. 6.11; BVGE 2010/45 E. 8.3),</w:t>
      </w:r>
    </w:p>
    <w:p>
      <w:r>
        <w:t>D-5118/2024 Seite 9 dass das SEM mithin zu Recht in Anwendung von Art. 31a Abs. 1 Bst. b AsylG auf das Asylgesuch des Beschwerdeführers nicht eingetreten ist und die Überstellung nach Bulgarien in Anwendung von Art. 44 AsylG ebenfalls zu Recht angeordnet hat, dass die Beschwerde nach vorstehenden Erwägungen abzuweisen und die Gesuche um Erlass eines superprovisorischen Vollzugsstopps, um Er- teilung der aufschiebenden Wirkung der Beschwerde sowie um Verzicht auf die Erhebung eines Kostenvorschusses gegenstandslos geworden sind, dass bei diesem Ausgang des Verfahrens die Kosten grundsätzlich dem Beschwerdeführer aufzuerlegen (Art. 63 Abs. 1 VwVG) sind und sein Ge- such um Gewährung der unentgeltlichen Prozessführung abzuweisen ist, da die Begehren als aussichtlos zu bezeichnen waren, weshalb die Vor- aussetzungen von Art. 65 Abs. 1 VwVG nicht erfüllt sind und demnach auch kein amtlicher Rechtsbeistand bestellt werden kann (vgl. Art. 102m Abs. 1 AsylG),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D-5118/2024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