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D-5113/2020 vom 21. April 2023</w:t>
      </w:r>
    </w:p>
    <w:p>
      <w:r>
        <w:t>Bundesverwaltungsgericht, 2023-04-21, DE</w:t>
      </w:r>
    </w:p>
    <w:p>
      <w:r>
        <w:rPr>
          <w:b/>
        </w:rPr>
        <w:t xml:space="preserve">Quelle: </w:t>
      </w:r>
      <w:r>
        <w:t>https://mcp.opencaselaw.ch/entscheid/bvger_D-5113_2020</w:t>
      </w:r>
    </w:p>
    <w:p>
      <w:r>
        <w:t>FR: TAF D-5113/2020 du 21 avril 2023</w:t>
      </w:r>
    </w:p>
    <w:p>
      <w:r>
        <w:t>IT: TAF D-5113/2020 del 21 aprile 2023</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w:t>
      </w:r>
    </w:p>
    <w:p>
      <w:r>
        <w:t>D-5113/2020 Seite 5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2</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In der Beschwerdeschrift wird eine mehrfache Verletzung des Untersu- chungsgrundsatzes und des Anspruchs auf rechtliches Gehör gerügt; diese Rügen sind vorab zu beurteilen, da sie gegebenenfalls geeignet sind, eine Kassation der vorinstanzlichen Verfügung zu bewirken. So habe die Vorinstanz eine Vielzahl der Vorbringen und Beweismittel des Beschwer- deführers unberücksichtigt gelassen respektive falsch gewürdigt. Zudem habe sie ihm die Möglichkeit vorenthalten, zu den bezüglich seiner Glaub- würdigkeit geäusserten Zweifeln Stellung zu nehmen und diesbezügliche Irrtümer aufzuklären.</w:t>
      </w:r>
    </w:p>
    <w:p>
      <w:r>
        <w:rPr>
          <w:b/>
        </w:rPr>
        <w:t>E. 4.2.1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w:t>
      </w:r>
    </w:p>
    <w:p>
      <w:r>
        <w:t>D-5113/2020 Seite 6 E. 3.2 m.w.H.). Unrichtig ist die Feststellung des Sachverhalts, wenn der Verfügung ein falscher und aktenwidriger Sachverhalt zugrunde gelegt wird oder Beweise falsch gewürdigt worden sind; unvollständig ist sie, wenn nicht alle für den Entscheid rechtswesentlichen Sachumstände berücksich- tigt werden (vgl. KÖLZ/HÄNER/BERTSCHI, Verwaltungsverfahren und Ver- waltungsrechtspflege des Bundes, 3. Aufl. 2013, Rz. 1043; statt vieler: Ur- teil des BVGer E-3615/2020 vom 18. Mai 2021 E. 3.2.3).</w:t>
      </w:r>
    </w:p>
    <w:p>
      <w:r>
        <w:rPr>
          <w:b/>
        </w:rPr>
        <w:t>E. 4.2.2</w:t>
      </w:r>
    </w:p>
    <w:p>
      <w:r>
        <w:t>Der in Art. 32 VwVG konkretisierte Teilgehalt des Anspruchs auf rechtliches Gehör (Art. 29 Abs. 2 BV) verpflichtet die Behörde nicht nur dazu,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 den (Art. 35 Abs. 1 VwVG). Dabei kann sie sich in ihrer Argumentation auf die für den Entscheid wesentlichen Gesichtspunkte beschränken (vgl. BGE 134 I 83 E. 4.1; BVGE 2007/21 E. 10.2 m.w.H.; PATRICK SUT- TER, in: Kommentar zum Bundesgesetz über das Verwaltungsverfahren [VwVG], 2. Aufl. 2019, Art. 32 N 1 ff.).</w:t>
      </w:r>
    </w:p>
    <w:p>
      <w:r>
        <w:rPr>
          <w:b/>
        </w:rPr>
        <w:t>E. 4.3</w:t>
      </w:r>
    </w:p>
    <w:p>
      <w:r>
        <w:t>Zunächst ist festzuhalten, dass in der Beschwerdeschrift die Frage des rechtserheblichen Sachverhalts und die der rechtlichen Würdigung der Sa- che wiederholt vermischt wurden. Der blosse Umstand, dass der Be- schwerdeführer und seine Rechtsvertretung die Beurteilung der Glaubhaf- tigkeit seiner Vorbringen sowie das Ergebnis der Wegweisungsvollzugs- prüfung der Vorinstanz nicht teilen, stellt keine Gehörsverletzung dar, son- dern beschlägt die Frage der materiellen Würdigung. Darüber hinaus fin- den sich in den Akten keinerlei Hinweise darauf, dass die Vorinstanz die Vorbringen und Beweismittel des Beschwerdeführers nicht sorgfältig und ernsthaft geprüft und in der Entscheidfindung berücksichtigt hätte. Ebenso wenig lassen die Akten auf eine mangelhafte Durchführung der Befragun- gen oder gar ernsthafte Zweifel an der Verwertbarkeit der protokollierten Aussagen schliessen. Weder das Protokoll der BzP noch die Anhörungs- protokolle deuten darauf hin, dass es zu Verständigungsproblemen oder gar Übersetzungsfehlern gekommen wäre. Es ist denn auch davon auszu- gehen, dass der Beschwerdeführer andernfalls solches in jenen Momenten direkt vorgebracht hätte. Stattdessen gab er jeweils an, die dolmetschende Person «gut» zu verstehen, und bestätigte die Richtigkeit und Vollständig- keit der Protokolle jeweils anlässlich der Rückübersetzung unterschriftlich, wobei er lediglich unwesentliche respektive keine Korrekturen anbrachte (vgl. A6/13 F9.02, A22/16 F1 respektive S. 15 und A24/21 F1 respektive</w:t>
      </w:r>
    </w:p>
    <w:p>
      <w:r>
        <w:t>D-5113/2020 Seite 7 S. 20). Darüber hinaus wird denn in der Beschwerdeschrift selbst einge- standen, die an der Übersetzung geäusserte Kritik sei zumindest teilweise «spekulativ» (vgl. Beschwerde RN32).</w:t>
      </w:r>
    </w:p>
    <w:p>
      <w:r>
        <w:rPr>
          <w:b/>
        </w:rPr>
        <w:t>E. 4.4</w:t>
      </w:r>
    </w:p>
    <w:p>
      <w:r>
        <w:t>Die formellen Rügen erweisen sich demnach als unbegründet und es besteht keine Veranlassung, die Verfügung aus formellen Gründen aufzu- heben und die Sache an die Vorinstanz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Ihren ablehnenden Entscheid begründet die Vorinstanz im Wesentli- chen damit, dass die Vorbringen des Beschwerdeführers weder den Anfor- derungen an die Flüchtlingseigenschaft noch denjenigen an das Glaubhaft- machen standhalten würden. Seine Schilderungen seien generell vage so- wie substanzarm ausgefallen und wiesen zahlreiche Widersprüche auf. So habe er zunächst zu Protokoll gegeben, weder Angaben zu den Tätigkeiten seines Vaters für die LTTE noch eine allfällige Rehabilitation machen zu können. Im Verlauf des Verfahrens habe er dann jedoch behauptet, sein</w:t>
      </w:r>
    </w:p>
    <w:p>
      <w:r>
        <w:t>D-5113/2020 Seite 8 Vater habe einer Selbstverteidigungsgruppe der LTTE angehört. Zudem habe er sich später auch daran erinnern können, wie das Lager geheissen habe, in welchem sein Vater angeblich interniert gewesen sei, und dass ihm dort eine unbekannte Substanz injiziert worden sei, welche seinen Ge- sundheitszustand negativ beeinflusst habe. Im späteren Verlauf der Anhö- rung habe er dann jedoch geltend gemacht, die Injektion sei erst Jahre später während einer Befragung verabreicht worden. Widersprüchlich seien denn auch seine Angaben zu den angeblichen Verhören und der gel- tend gemachten Entführung, zumal es sich lediglich um eine Vermutung seinerseits handle, dass die Entführer dem CID angehört hätten. Auch die lediglich pauschal geltend gemachte Schikanierung seines noch in Sri Lanka lebenden Bruders, habe er erst spät im Verfahren vorgebracht. Darüber hinaus vermöchten die eingereichten Beweismittel an der Un- glaubhaftigkeit seiner Vorbringen nichts zu ändern.</w:t>
      </w:r>
    </w:p>
    <w:p>
      <w:r>
        <w:rPr>
          <w:b/>
        </w:rPr>
        <w:t>E. 6.2</w:t>
      </w:r>
    </w:p>
    <w:p>
      <w:r>
        <w:t>In der Beschwerdeschrift wird im Wesentlichen an der Glaubhaftigkeit der Vorbringen des Beschwerdeführers festgehalten. Es sei durchaus plau- sibel, dass er als Sohn eines ehemaligen LTTE Kämpfers in den Fokus der heimatlichen Behörden geraten sei, da er als erfolgreicher Karatesportler deren Aufmerksamkeit erregt habe. Die von der Vorinstanz aufgezeigten Widersprüche seien auf Missverständnisse zwischen ihm und der befra- genden respektive übersetzenden Person zurückzuführen und liessen sich ohne Weiteres erklären, zumal seine Aussagen im Kern jeweils konstant gewesen seien. Insbesondere die Mitnahme und Misshandlung durch die CID Beamten habe er widerspruchsfrei zu Protokoll gegeben und durch die Röntgenbilder seiner gebrochenen Hand sowie durch seine Narbe am Handgelenk klar belegt. Für seine Glaubwürdigkeit spreche denn auch, dass er nicht nur Übergriffe auf seine Person geltend gemacht habe, son- dern auch solche seine Verwandtschaft betreffend habe schildern können.</w:t>
      </w:r>
    </w:p>
    <w:p>
      <w:r>
        <w:rPr>
          <w:b/>
        </w:rPr>
        <w:t>E. 6.3</w:t>
      </w:r>
    </w:p>
    <w:p>
      <w:r>
        <w:t>In der Vernehmlassung entgegnet die Vorinstanz dem, auch die auf Beschwerdeebene zu den Akten gereichten Beweismittel vermöchten an ihrer Einschätzung nichts zu ändern. Weder ergebe sich eine Verfolgung durch die heimatlichen Behörden aus den eingereichten Karate-Diplomen, noch aus dem Internetausdruck einen Karatemeister betreffend. Zum Zeit- punkt der Veröffentlichung des Artikels sei der Beschwerdeführer ohnehin erst fünf Jahre alt gewesen. Eine asylrelevante Verfolgung ergebe sich ebenso wenig aus dem lediglich in Kopie vorliegenden Schreiben der Men- schenrechtskommission von Sri Lanka wie der eingereichten Message Form. Entgegen der Ausführungen in der Beschwerde vermöge denn auch</w:t>
      </w:r>
    </w:p>
    <w:p>
      <w:r>
        <w:t>D-5113/2020 Seite 9 die Fotografie des vernarbten Unterarms respektive die Röntgenbilder kei- nesfalls zu belegen, dass der CID den Beschwerdeführer körperlich miss- handelt und seinen Arm gebrochen habe.</w:t>
      </w:r>
    </w:p>
    <w:p>
      <w:r>
        <w:rPr>
          <w:b/>
        </w:rPr>
        <w:t>E. 6.4</w:t>
      </w:r>
    </w:p>
    <w:p>
      <w:r>
        <w:t>Der Beschwerdeführer replizierte dazu, die Vorinstanz stelle die Ver- bindungen seines Vaters wie auch jene seines Karatelehrers zu den LTTE nicht in Frage. Da er diesen Personen nahestehe und durch seine Wett- kampferfolge im Kampfsport mediale Präsenz erlangt habe, sei es durch- aus nachvollziehbar, dass er in den Fokus der staatlichen Behörden gera- ten sei, was er denn auch belegt habe.</w:t>
      </w:r>
    </w:p>
    <w:p>
      <w:r>
        <w:rPr>
          <w:b/>
        </w:rPr>
        <w:t>E. 7.1</w:t>
      </w:r>
    </w:p>
    <w:p>
      <w:r>
        <w:t>Die Vorinstanz hat die Vorbringen des Beschwerdeführers in der ange- fochtenen Verfügung mit ausführlicher und überzeugender Begründung als unglaubhaft respektive nicht asylrelevant qualifiziert. Die Ausführungen auf Beschwerdeebene und die eingereichten Beweismittel führen zu keiner an- deren Betrachtungsweise. Zur Vermeidung von Wiederholungen kann auf die angefochtene Verfügung, die Vernehmlassung sowie E. 6.1 und 6.3 hiervor verwiesen werden. In Ergänzung und Präzisierung dazu ist das Fol- gende festzustellen:</w:t>
      </w:r>
    </w:p>
    <w:p>
      <w:r>
        <w:rPr>
          <w:b/>
        </w:rPr>
        <w:t>E. 7.2</w:t>
      </w:r>
    </w:p>
    <w:p>
      <w:r>
        <w:t>Trotz mehrfacher Aufforderung, das Geltendgemachte substantiiert darzulegen, vermochte der Beschwerdeführer insbesondere sein Haupt- vorbringen – die angebliche «White-Van-Entführung» und die Misshand- lungen durch CID-Beamte – nicht detailliert zu beschreiben (vgl. beispiels- weise A22/16 F56 f., F59 und A24/21 F101). Seine diesbezüglichen Erzäh- lungen erschöpfen sich in Wiederholungen von allgemeinen Handlungs- abläufen, die sich, wie er denn selbst eingesteht, mit allgemein bekannten «Berichten decken» (vgl. Beschwerde S. 11). Entgegen der Beschwerde- schrift spricht eben diese Detailarmut gerade nicht für die Glaubhaftigkeit der Vorbringen, sondern lässt vielmehr vermuten, dass der Beschwerde- führer das Geltendgemachte nicht selbst erlebte, sondern anhand ihm Be- kanntem konstruierte. Den von der Vorinstanz aufgezeigten Ungereimthei- ten vermag er sodann auch auf Beschwerdeebene nichts Substantielles entgegenzusetzen. Der wiederholte Erklärungsversuch in der Beschwer- deschrift, bei den aufgezeigten Widersprüchen handle es sich um Missver- ständnisse, welche wohl auf die Übersetzung zurückzuführen seien, ver- mag nicht zu überzeugen – zumal wie bereits unter E. 4.4 hiervor dargelegt – keine Zweifel an der Verwertbarkeit der Anhörungsprotokolle bestehen. Nebst den von der Vorinstanz aufgezeigten Widersprüchen finden sich zahlreiche weitere Diskrepanzen in den Aussagen des Beschwerdeführers.</w:t>
      </w:r>
    </w:p>
    <w:p>
      <w:r>
        <w:t>D-5113/2020 Seite 10 Beispielsweise gab er während der BzP zu Protokoll, derart stark misshan- delt worden zu sein, dass der Knochen in seinem Arm gebrochen sei und «durch die Haut raus[gestochen]» habe (vgl. A6/13 F7.02). In der späteren Anhörung gab er hingegen lediglich zu Protokoll, nebst einem (einfachen) Knochenbruch eine «Schnittverletzung» erlitten zu haben (vgl. A22/16 F48). In der ergänzenden Anhörung relativierte er sein diesbezügliches Vorbringen noch weiter, indem er angab, es habe sich lediglich so ange- fühlt, «als ob [ein] Knochen gebrochen» sei (vgl. A24/21 F103). Weiter gab er während der Anhörung zu Protokoll, seine Entführer hätten ihn schliess- lich nachhause gebracht, wo seine Eltern ihn in Empfang genommen und hineingetragen hätten (vgl. A22/16 F48). In der ergänzenden Anhörung gab er hingegen an, durch die angeblichen Misshandlungen das Bewusst- sein verloren zu haben und «erst am nächsten Morgen» wieder zu sich gekommen zu sein, woraufhin seine Eltern ihm berichtet hätten, wie sie ihn aufgefunden hätten (vgl. A24/21 F103). Ohnehin erscheinen die Umstände der geltend gemachten Entführung durch die Behörden und deren (angeb- liches) Interesse am Beschwerdeführer unglaubhaft, zumal er gemäss sei- nen eigenen Angaben überhaupt keinen Bezug zu den LTTE aufweist (vgl. A22/16 F44). Seine Karatetätigkeit, welche gemäss dem Beschwer- deführer für Aufsehen gesorgt habe, habe er zuletzt im Jahre 2016 ausge- übt (vgl. A22/16 F36). Die Schikanen durch die Behörden hätten jedoch erst im März 2017 begonnen (vgl. A22/16 F57), somit zu einer Zeit in der der Beschwerdeführer bereits nicht mehr aktiv trainierte. Darüber hinaus verneinte er denn auch eine Verbindung seines Karateklubs zu den LTTE ausdrücklich (vgl. A22/16 F40). Es ist demnach nicht davon auszugehen, dass er aufgrund seiner sportlichen Aktivitäten in den Focus der heimatli- chen Behörden geraten ist. Darüber hinaus erscheint denn auch die an- gebliche LTTE Vergangenheit seines Vaters sehr unwahrscheinlich, ver- mochte der Beschwerdeführer dazu doch selbst auf Beschwerdeebene keine konkreten Angaben zu machen.</w:t>
      </w:r>
    </w:p>
    <w:p>
      <w:r>
        <w:rPr>
          <w:b/>
        </w:rPr>
        <w:t>E. 7.3</w:t>
      </w:r>
    </w:p>
    <w:p>
      <w:r>
        <w:t>An der Unglaubhaftigkeit der Vorbringen vermögen denn auch die auf Beschwerdeebene eingereichten Beweismittel nichts zu ändern. So lassen weder die im vorinstanzlichen Verfahren noch die auf Beschwerdeebene eingereichten Berichte zur allgemeinen Lage in Sri Lanka sowie zum Ka- ratesport oder die Auszüge aus dem Handbuch des SEM einen Bezug oder gar eine asylrelevante Verfolgung des Beschwerdeführers erkennen. Der (angeblichen) Vorladung der Polizei sowie dem (angeblichen) Dokument zur Inhaftierung des Vaters des Beschwerdeführers kommt lediglich ein geringer Beweiswert zu, zumal vorgenannte Dokumente lediglich in Kopie vorliegen (vgl. Beschwerdebeilage 5 und 9) und in den weiteren Eingaben</w:t>
      </w:r>
    </w:p>
    <w:p>
      <w:r>
        <w:t>D-5113/2020 Seite 11 auf Beschwerdeebene auch hierzu nichts konkretisiert wurde. Dass die im erstinstanzlichen Verfahren zu den Akten gereichten Röntgenbilder die gel- tend gemachte Misshandlung und einen daraus resultierenden Bruch der Handknochen des Beschwerdeführers zu belegen vermögen, ist offen- sichtlich zu verneinen. Aus den Bildern geht weder hervor, ob es sich bei der abgebildeten Gliedmasse um einen linken oder rechten Arm handelt noch ob überhaupt jener des Beschwerdeführers abgebildet ist (vgl. BM1). Sofern die Röntgenbilder denn tatsächlich den Arm des Beschwerdefüh- rers zeigen, können daraus keine Schlüsse auf das den (angeblichen) Bruch verursachende Ereignis gezogen werden. Gleiches gilt für die auf Beschwerdeebene eingereichte Fotografie einer Narbe an einem mensch- lichen Handgelenk (vgl. Beschwerdebeilage 6), zumal sich der abgebildete Arm dem Beschwerdeführer nicht zuordnen lässt. Darüber hinaus wird denn in der Replik eingestanden, dass alleine eine Narbe nicht auf eine Misshandlung durch CID Beamte schliessen lässt (vgl. Replik RN12).</w:t>
      </w:r>
    </w:p>
    <w:p>
      <w:r>
        <w:rPr>
          <w:b/>
        </w:rPr>
        <w:t>E. 7.4</w:t>
      </w:r>
    </w:p>
    <w:p>
      <w:r>
        <w:t>Zusammenfassend ist es dem Beschwerdeführer somit nicht gelungen, zum Zeitpunkt seiner Ausreise bestehende asylrelevante Fluchtgründe nachzuweisen oder glaubhaft zu machen.</w:t>
      </w:r>
    </w:p>
    <w:p>
      <w:r>
        <w:rPr>
          <w:b/>
        </w:rPr>
        <w:t>E. 8.1</w:t>
      </w:r>
    </w:p>
    <w:p>
      <w:r>
        <w:t>Zu prüfen bleibt, ob dem Beschwerdeführer trotz fehlender Vorverfol- gung bei einer Rückkehr in seinen Heimatstaat ernsthafte Nachteile im Sinne von Art. 3 AsylG drohen würden.</w:t>
      </w:r>
    </w:p>
    <w:p>
      <w:r>
        <w:rPr>
          <w:b/>
        </w:rPr>
        <w:t>E. 8.2.1</w:t>
      </w:r>
    </w:p>
    <w:p>
      <w:r>
        <w:t>Das Bundesverwaltungsgericht hat im Referenzurteil E-1866/2015 vom 15. Juli 2016 festgestellt, dass Angehörige der tamilischen Ethnie bei einer Rückkehr nach Sri Lanka nicht generell einer ernstzunehmenden Ge- fahr von Verhaftung und Folter ausgesetzt sind (vgl. a.a.O. E. 8.3). Zur Be- urteilung des Risikos von Rückkehrenden, Opfer ernsthafter Nachteile in Form von Verhaftung und Folter zu werden, wurden verschiedene Risiko- 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vor künftiger Verfolgung führen könnten. Dem- gegenüber stellen das Fehlen ordentlicher Identitätsdokumente bei der Einreise, Narben und eine gewisse Aufenthaltsdauer in einem westlichen Land schwach risikobegründende Faktoren dar. Von den Rückkehrenden,</w:t>
      </w:r>
    </w:p>
    <w:p>
      <w:r>
        <w:t>D-5113/2020 Seite 12 die diese weitreichenden Risikofaktoren erfüllten, habe jedoch nur jene kleine Gruppe tatsächlich mit beachtlicher Wahrscheinlichkeit ernsthafte Nachteile im Sinne von Art. 3 AsylG zu befürchten, die nach Ansicht der sri- lankischen Behörden bestrebt sei, den tamilischen Separatismus wieder- aufleben zu lassen und so den sri-lankischen Einheitsstaat gefährde. Mit Blick auf die dargelegten Risikofaktoren seien in erster Linie jene Rückkeh- rer gefährdet, deren Namen in der am Flughafen in Colombo abrufbaren «Stop-List» vermerkt seien und der Eintrag den Hinweis auf eine Verhaf- tung beziehungsweise einen Strafregistereintrag im Zusammenhang mit einer tatsächlichen oder vermuteten Verbindung zu den LTTE enthalte. Entsprechendes gelte für sri-lankische Staatsangehörige, die sich im Aus- land regimekritisch betätigt hätten (vgl. a.a.O. E. 8).</w:t>
      </w:r>
    </w:p>
    <w:p>
      <w:r>
        <w:rPr>
          <w:b/>
        </w:rPr>
        <w:t>E. 8.2.2</w:t>
      </w:r>
    </w:p>
    <w:p>
      <w:r>
        <w:t>Im Zusammenhang mit der aktuellen politischen Lage in Sri Lanka ist festzuhalten, dass sich das Bundesverwaltungsgericht der jüngeren Ver- änderungen – insbesondere im Zusammenhang mit dem Machtwechsel nach den Präsidentschaftswahlen im November 2019 respektive 20. Juli 2022 – bewusst ist. Es beobachtet die Entwicklungen aufmerksam und be- rücksichtigt sie bei der Entscheidfindung. Zum heutigen Zeitpunkt gibt es keinen Grund zur Annahme, dass seit dem Machtwechsel in Sri Lanka ganze Bevölkerungsgruppen kollektiv einer Verfolgungsgefahr ausgesetzt wären. Unter diesen Umständen ist im Einzelfall zu prüfen, ob ein persön- licher Bezug der asylsuchenden Personen zur Präsidentschaftswahl vom 16. November 2019 respektive deren Folgen besteht (vgl. [statt vieler]: Ur- teile des BVGer E-2191/2020 vom 24. August 2022 E. 6.4.1, D-4668/2021 vom 9. November 2021 E. 8.5 sowie Referenzurteil des Bundesverwal- tungsgerichts E-1866/2015 vom 15. Juli 2016; Human Rights Watch [HRW], Sri Lanka: Families of " Disappeared " Threatened, 16. Februar 2020). Die am 20. Juli 2022 erfolgte Wahl von Ranil Wickremesinghe zum Nachfolger des abgetretenen Gotabaya Rajapaksa als neuen Staatspräsi- denten ändert vorerst nichts an der bisherigen Lageeinschätzung, ist die- ser doch Teil der alten politischen Elite (vgl. Urteil des BVGer D-3257/2022 vom 16. November 2022 E. 6.2).</w:t>
      </w:r>
    </w:p>
    <w:p>
      <w:r>
        <w:rPr>
          <w:b/>
        </w:rPr>
        <w:t>E. 8.3</w:t>
      </w:r>
    </w:p>
    <w:p>
      <w:r>
        <w:t>Der Beschwerdeführer weist kein Profil auf, welches ihn als LTTE-nah qualifizieren könnte, zumal er angab «überhaupt keinen [persönlichen] Be- zug zu den LTTE» zu haben (vgl. A22/16 F44). Sein Vorbringen, aufgrund seiner sportlichen Erfolge und der (angeblichen) LTTE Vergangenheit sei- nes Vaters sei er in den Fokus der heimatlichen Behörden geraten, hat sich – wie bereits dargelegt – als unglaubhaft erwiesen. Auch ist der Beschwer- deführer gemäss eigenen Angaben nicht exilpolitisch aktiv (vgl. A24/21</w:t>
      </w:r>
    </w:p>
    <w:p>
      <w:r>
        <w:t>D-5113/2020 Seite 13 F142). Ebenso wenig ist aus dem Auslandaufenthalt oder dem Asylverfah- ren in der Schweiz eine Gefährdung abzuleiten. Bezüglich der geltend ge- machten Narbe an seinem Handgelenk ist – wie bereits dargelegt – unklar geblieben, ob die eingereichte Fotografie überhaupt das Handgelenk des Beschwerdeführers zeigt. Unter Würdigung sämtlicher Umstände ist anzu- nehmen, dass der Beschwerdeführer von den sri-lankischen Sicherheits- kräften nicht zu jener kleinen Gruppe gezählt wird, die bestrebt ist, den tamilischen Separatismus wieder aufleben zu lassen, und so eine Gefahr für den sri-lankischen Einheitsstaat darstellt. Die im Rahmen des Be- schwerdeverfahrens eingereichten Länderberichte, die keinen konkreten Bezug zum Beschwerdeführer aufweisen, vermögen daran nichts zu än- dern. Insgesamt ist nicht davon auszugehen, dass er bei einer Rückkehr nach Sri Lanka einem erhöhten Verfolgungsrisiko ausgesetzt wäre und ernsthafte Nachteile im Sinne von Art. 3 Abs. 2 AsylG zu befürchten hätte. Daran ändert auch das Vorbringen, sein Bruder werde an seiner statt nun durch die Behörden schikaniert, nichts, zumal die Verfolgung seiner Fami- lie als unglaubhaft gewertet wurde. Es erübrigt sich unter diesen Umstän- den, auf die weiteren Ausführungen in den Beschwerdeeingaben und die eingereichten Beweismittel einzugehen, da sie an der vorgenommenen Würdigung des Sachverhalts nichts zu ändern vermögen.</w:t>
      </w:r>
    </w:p>
    <w:p>
      <w:r>
        <w:rPr>
          <w:b/>
        </w:rPr>
        <w:t>E. 8.4</w:t>
      </w:r>
    </w:p>
    <w:p>
      <w:r>
        <w:t>Das SEM hat demnach zu Recht festgestellt, dass der Beschwerdefüh- rer die Flüchtlingseigenschaft nicht erfüllt, und sein Asylgesuch abgelehnt.</w:t>
      </w:r>
    </w:p>
    <w:p>
      <w:r>
        <w:rPr>
          <w:b/>
        </w:rPr>
        <w:t>E. 9</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D-5113/2020 Seite 14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 worfen werden.</w:t>
      </w:r>
    </w:p>
    <w:p>
      <w:r>
        <w:rPr>
          <w:b/>
        </w:rPr>
        <w:t>E. 10.2.2</w:t>
      </w:r>
    </w:p>
    <w:p>
      <w:r>
        <w:t>Das Prinzip des flüchtlingsrechtlichen Non-Refoulement schützt nur Personen,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den Heimat- staat ist demnach unter dem Aspekt von Art. 5 AsylG rechtmässig.</w:t>
      </w:r>
    </w:p>
    <w:p>
      <w:r>
        <w:rPr>
          <w:b/>
        </w:rPr>
        <w:t>E. 10.2.3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w:t>
      </w:r>
    </w:p>
    <w:p>
      <w:r>
        <w:rPr>
          <w:b/>
        </w:rPr>
        <w:t>E. 10.2.4</w:t>
      </w:r>
    </w:p>
    <w:p>
      <w:r>
        <w:t>Der EGMR hat sich mit der Gefährdungssituation im Hinblick auf eine EMRK-widrige Behandlung namentlich für Tamilen, die aus einem eu- ropäischen Land nach Sri Lanka zurückkehren müssen, wiederholt befasst</w:t>
      </w:r>
    </w:p>
    <w:p>
      <w:r>
        <w:t>D-5113/2020 Seite 15 (vgl. EGMR, R.J. gegen Frankreich, Urteil vom 19. September 2013, Be- schwerde Nr. 10466/11; E.G. gegen Grossbritannien, Urteil vom 31. Mai 2011, Beschwerde Nr. 41178/08; T.N. gegen Dänemark, Urteil vom 20. Ja- nuar 2011, Beschwerde Nr. 20594/08; P.K. gegen Dänemark, Urteil vom 20. Januar 2011, Beschwerde Nr. 54705/08; N.A. gegen Grossbritannien, Urteil vom 17. Juli 2008, Beschwerde Nr. 25904/07; Rechtsprechung be- stätigt in J.G. gegen Polen, Entscheidung vom 11. Juli 2017, Beschwerde Nr. 44114/14). Dabei unterstreicht der Gerichtshof, dass nicht in genereller Weise davon auszugehen sei, zurückkehrenden Tamilen drohe eine un- menschliche Behandlung. Vielmehr müssten im Rahmen der Beurteilung, ob der oder die Betroffene ernsthafte Gründe für die Befürchtung habe, die Behörden hätten an seiner Festnahme und Befragung ein Interesse, ver- schiedene Aspekte – welche im Wesentlichen durch die im Referenzurteil E‑1866/2015 identifizierten Risikofaktoren abgedeckt sind (vgl. EGMR, T.N. gegen Dänemark, a.a.O., § 94; EGMR, E.G. gegen Grossbritannien, a.a.O., § 13 und 69) – in Betracht gezogen werden. Dabei sei dem Um- stand gebührend Beachtung zu schenken, dass diese einzelnen Aspekte, auch wenn sie für sich alleine betrachtet möglicherweise kein "real risk" darstellten, diese Schwelle bei einer kumulativen Würdigung erreichen könnten.</w:t>
      </w:r>
    </w:p>
    <w:p>
      <w:r>
        <w:rPr>
          <w:b/>
        </w:rPr>
        <w:t>E. 10.2.5</w:t>
      </w:r>
    </w:p>
    <w:p>
      <w:r>
        <w:t>Nachdem der Beschwerdeführer nicht glaubhaft gemacht hat, dass er befürchten müsse, bei einer Rückkehr in den Heimatstaat die Aufmerk- samkeit der sri-lankischen Behörden in einem flüchtlingsrechtlich relevan- ten Ausmass auf sich zu ziehen, bestehen auch keine Anhaltspunkte dafür, ihm würde in Sri Lanka eine menschenrechtswidrige Behandlung drohen. Aus Sicht des Bundesverwaltungsgerichts besteht bei der heutigen Akten- lage kein Grund zur Annahme, dass sich die jüngsten politischen Entwick- lungen in Sri Lanka konkret auf den Beschwerdeführer auswirken könnten. Die allgemeine Menschenrechtssituation in Sri Lanka lässt den Wegwei- sungsvollzug zum heutigen Zeitpunkt nicht als generell unzulässig erschei- nen und der Beschwerdeführer bringt seinerseits keine individuellen Merk- male glaubhaft vor, welche eine Unzulässigkeit des Vollzugs begründen könnten.</w:t>
      </w:r>
    </w:p>
    <w:p>
      <w:r>
        <w:rPr>
          <w:b/>
        </w:rPr>
        <w:t>E. 10.2.6</w:t>
      </w:r>
    </w:p>
    <w:p>
      <w:r>
        <w:t>Der Vollzug der Wegweisung erweist sich sowohl im Sinn der lan- des- als auch der völkerrechtlichen Bestimmungen als zulässig.</w:t>
      </w:r>
    </w:p>
    <w:p>
      <w:r>
        <w:rPr>
          <w:b/>
        </w:rPr>
        <w:t>E. 10.3.1</w:t>
      </w:r>
    </w:p>
    <w:p>
      <w:r>
        <w:t>Gemäss Art. 83 Abs. 4 AIG kann der Vollzug für Ausländerinnen und Ausländer unzumutbar sein, wenn sie im Heimat- oder Herkunftsstaat</w:t>
      </w:r>
    </w:p>
    <w:p>
      <w:r>
        <w:t>D-5113/2020 Seite 16 aufgrund von Situationen wie Krieg, Bürgerkrieg, allgemeiner Gewalt und medizinischer Notlage konkret gefährdet sind. Wird eine konkrete Gefähr- dung festgestellt, ist – unter Vorbehalt von Art. 83 Abs. 7 AIG – die vorläu- fige Aufnahme zu gewähren.</w:t>
      </w:r>
    </w:p>
    <w:p>
      <w:r>
        <w:rPr>
          <w:b/>
        </w:rPr>
        <w:t>E. 10.3.2</w:t>
      </w:r>
    </w:p>
    <w:p>
      <w:r>
        <w:t>In Sri Lanka herrscht weder Krieg noch Bürgerkrieg noch eine Si- tuation allgemeiner Gewalt. Der bewaffnete Konflikt zwischen der sri-lanki- schen Regierung und den LTTE ist im Mai 2009 zu Ende gegangen.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sogenannten Vanni-Gebiets zumutbar ist, wenn das Vorliegen von individuellen Zumutbarkeitskriterien bejaht werden kann. Zu den individuellen Zumutbarkeitskriterien gehören insbesondere das Vorhandensein eines tragfähigen familiären oder sozialen Bezie- hungsnetzes sowie Aussichten auf eine gesicherte Einkommens- und Wohnsituation (vgl. Urteil des BVGer D-3257/2022 vom 16. November 2022 E. 8.4.3 m.H.a. Referenzurteil des BVGer E-1866/2015 E. 13.2 ff. und Urteil des BVGer D‑3619/2016 vom 16. Oktober 2017 E. 9.5).</w:t>
      </w:r>
    </w:p>
    <w:p>
      <w:r>
        <w:rPr>
          <w:b/>
        </w:rPr>
        <w:t>E. 10.3.3</w:t>
      </w:r>
    </w:p>
    <w:p>
      <w:r>
        <w:t>Nach Prüfung der Akten kommt das Gericht zum Schluss, dass die Vorinstanz zu Recht das Bestehen individueller Wegweisungsvollzugshin- dernisse verneint hat. Der junge und gesunde Beschwerdeführer (vgl. A22/16 F5 und A24/21 F4) verfügt gemäss Aktenlage im Heimatstaat über eine Ausbildung zum Seemann sowie über ein tragfähiges soziales Beziehungsnetz aus Eltern und Geschwistern, welche ihn bereits vor sei- ner Ausreise finanziell unterstützten (vgl. A6/13 F1.17.04 f., F3.01 und A24/11 F31). Aufgrund seiner verhältnismässig guten Ausbildung ist zu er- warten, dass er sich im Heimatstaat wirtschaftlich schnell wieder zu integ- rieren vermag und – sofern notwendig – zur Sicherung seiner wirtschaftli- chen Existenz erneut auf die Unterstützung seiner Familie zurückgreifen und in deren Haushalt unterkommen kann. Es besteht kein Grund zur An- nahme, dass er bei einer Rückkehr nach Sri Lanka in eine existenzielle Notlage geraten wird. Zudem kann der Beschwerdeführer weder aus der Situation seit dem Machtwechsel im Jahr 2019 noch aus der aktuellen Lage in Sri Lanka eine Gefährdung für sich ableiten. Die Wahl von Ranil Wickremesinghe zum Nachfolger des abgetretenen Gotabaya Rajapaksa am 20. Juli 2022 zum neuen Staatspräsidenten ändert vorerst nichts an der bisherigen</w:t>
      </w:r>
    </w:p>
    <w:p>
      <w:r>
        <w:t>D-5113/2020 Seite 17 Lageeinschätzung, ist dieser doch – wie bereits vorstehend festgehalten – Teil der alten politischen Elite (vgl. auch Urteil des BVGer D-3257/2022 vom 16. November 2022 E. 8.4.3 m.w.H.).</w:t>
      </w:r>
    </w:p>
    <w:p>
      <w:r>
        <w:rPr>
          <w:b/>
        </w:rPr>
        <w:t>E. 10.3.4</w:t>
      </w:r>
    </w:p>
    <w:p>
      <w:r>
        <w:t>Nach dem Gesagten erweist sich der Vollzug der Wegweisung so- wohl in genereller als auch in individueller Hinsicht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sind die Kosten grundsätzlich dem Beschwerdeführer aufzuerlegen. Mit Zwischenverfügung vom 24. No- vember 2020 wurde sein Gesuch um unentgeltliche Prozessführung – un- ter Vorbehalt einer nachträglichen Veränderung der finanziellen Verhält- nisse – gutgeheissen und auf die Erhebung eines Kostenvorschusses ver- zichtet. Nachdem der Kanton G._______ dem Gericht mitgeteilt hatte, der Beschwerdeführer sei in den Arbeitsmarkt integriert und von der Sozialhilfe gelöst, forderte ihn der Instruktionsrichter mit Verfügung vom 26. April 2022 auf, zu seiner Prozessarmut während des gesamten Verfahrens Auskunft zu geben. Mit Eingabe vom 10. Mai 2022 bestätigte er eine Erwerbstätig- keit unter der Beigabe von Belegen zu seinem Einkommen sowie seinen Auslagen.</w:t>
      </w:r>
    </w:p>
    <w:p>
      <w:r>
        <w:rPr>
          <w:b/>
        </w:rPr>
        <w:t>E. 12.2</w:t>
      </w:r>
    </w:p>
    <w:p>
      <w:r>
        <w:t>Gemäss dem für den Monat März 2022 eingereichten Kontoauszug erzielt der Beschwerdeführer einen Nettomonatslohn von Fr. 3'323.78 (in- klusive 13. Monatslohn), wobei dieser gemäss Lohnabrechnung im Monat April 2022 mit Fr. 3'319.10 vernachlässigbar tiefer ausfiel (vgl. Eingabe vom 10. Mai 2022, Beilage 1 und 4). Angaben zu seinem Vermögen blieb</w:t>
      </w:r>
    </w:p>
    <w:p>
      <w:r>
        <w:t>D-5113/2020 Seite 18 der Beschwerdeführer schuldig. Geltend machte er sodann monatliche Auslagen von Fr. 590.95 (Mietkosten Fr. 300.–; Krankenkassenprämie Fr. 239.95; Öffentliche Verkehrsmittel Fr. 51.–). Nach Abzug eines Grund- betrags für Alleinstehende von Fr. 1'440.– (Fr. 1'200.– zzgl. Zuschlag von 20%) verbleibt dem Beschwerdeführer demnach ein monatlicher Über- schuss von rund Fr. 1'292.–. Demnach ist er im Sinne von Art. 65 Abs. 1 VwVG nicht mehr als bedürftig zu bezeichnen. Aus diesem Grund ist die Verfügung vom 24. November 2020 betreffend die Gutheissung des Ge- suchs um Gewährung der unentgeltlichen Prozessführung wiedererwä- gungsweise aufzuheben. Die Kosten für das vorliegende Verfahren von Fr. 750.– sind dem Beschwerdeführer aufzuerlegen (Art. 63 Abs. 1 VwVG; Art. 1–3 VGKE).</w:t>
      </w:r>
    </w:p>
    <w:p>
      <w:r>
        <w:rPr>
          <w:b/>
        </w:rPr>
        <w:t>E. 12.3.1</w:t>
      </w:r>
    </w:p>
    <w:p>
      <w:r>
        <w:t>Mit derselben Zwischenverfügung wurde auch der Antrag auf unent- geltliche Rechtsverbeiständung im Sinne von aArt. 110a AsylG gutgeheis- sen und dem Beschwerdeführer die rubrizierte Rechtsvertreterin amtlich beigeordnet. Vorgenannte Zwischenverfügung ist – aufgrund des Wegfal- lens der Voraussetzungen – auch diesbezüglich zu widerrufen, wobei der Widerruf seine Wirkung ex nunc entfaltet (vgl. Urteil des BVGer E-6487/2018 vom 7. Dezember 2021 E. 10.3 m.w.H.). Die rubrizierte Rechtsvertreterin ist demnach für den bisher entstandenen Aufwand zu entschädigen, soweit dieser sachlich notwendig war (vgl. Art. 12 i.V.m. Art. 8 Abs. 2 VGKE).</w:t>
      </w:r>
    </w:p>
    <w:p>
      <w:r>
        <w:rPr>
          <w:b/>
        </w:rPr>
        <w:t>E. 12.3.2</w:t>
      </w:r>
    </w:p>
    <w:p>
      <w:r>
        <w:t>Vorliegend wurde keine Kostennote zu den Akten gereicht. Auf die Nachforderung einer solchen kann indessen verzichtet werden (Art. 14 Abs. 2 VGKE). In Anwendung der genannten Bestimmungen und unter Be- rücksichtigung der massgeblichen Bemessungsfaktoren (Art. 8 ff. VGKE) – insbesondere enthält die Beschwerdeschrift redundante und unnötige Ausführungen – ist der rubrizierten Rechtsvertreterin vom Bundesverwal- tungsgericht ein Honorar in der Höhe von Fr. 2'500.– (inklusive Auslagen und Mehrwertsteuerzuschlag) zu entrichten.</w:t>
      </w:r>
    </w:p>
    <w:p>
      <w:r>
        <w:rPr>
          <w:b/>
        </w:rPr>
        <w:t>E. 12.4.1</w:t>
      </w:r>
    </w:p>
    <w:p>
      <w:r>
        <w:t>Gemäss Art. 65 Abs. 4 VwVG ist die bedürftige Partei, die später zu hinreichenden Mitteln gelangt, verpflichtet, Honorar und Kosten des An- walts an die Körperschaft oder autonome Anstalt zu vergüten, die sie be- zahlt hat (vgl. hierzu auch Urteile des BVGer E-6487/2018 vom 7. Dezem- ber 2021 E. 10.3 und E-2728/2015 vom 10. Mai 2017 E. 9.2). Als hinrei- chend sind die Mittel dann anzusehen, wenn die betreffende Person nicht</w:t>
      </w:r>
    </w:p>
    <w:p>
      <w:r>
        <w:t>D-5113/2020 Seite 19 mehr mittellos ist (vgl. KAYSER MARTIN/ALTMANN RAHEL, in: Auer/Mül- ler/Schindler (Hrsg.), VwVG Kommentar, 2. Aufl., Zürich 2019, Art. 65 N 86).</w:t>
      </w:r>
    </w:p>
    <w:p>
      <w:r>
        <w:rPr>
          <w:b/>
        </w:rPr>
        <w:t>E. 12.4.2</w:t>
      </w:r>
    </w:p>
    <w:p>
      <w:r>
        <w:t>Nachdem der Beschwerdeführer – wie hiervor dargelegt – über ge- nügend finanzielle Mittel verfügt, ist er zur Rückerstattung der bis zum Zeit- punkt des Widerrufs der unentgeltlichen Rechtsverbeiständung – welcher auf den Urteilszeitpunkt fällt – entstandenen Kosten in der Höhe von Fr. 2'500.– zu verpflichten. (Dispositiv nächste Seite)</w:t>
      </w:r>
    </w:p>
    <w:p>
      <w:r>
        <w:t>D-5113/2020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