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D-510/2021 vom 4. März 2021</w:t>
      </w:r>
    </w:p>
    <w:p>
      <w:r>
        <w:t>Bundesverwaltungsgericht, 2021-03-04, DE</w:t>
      </w:r>
    </w:p>
    <w:p>
      <w:r>
        <w:rPr>
          <w:b/>
        </w:rPr>
        <w:t xml:space="preserve">Quelle: </w:t>
      </w:r>
      <w:r>
        <w:t>https://mcp.opencaselaw.ch/entscheid/bvger_D-510_2021</w:t>
      </w:r>
    </w:p>
    <w:p>
      <w:r>
        <w:t>FR: TAF D-510/2021 du 4 mars 2021</w:t>
      </w:r>
    </w:p>
    <w:p>
      <w:r>
        <w:t>IT: TAF D-510/2021 del 4 marzo 2021</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im vorliegenden Verfahren auf die Durchführung eines Schriftenwechsels verzichtet.</w:t>
      </w:r>
    </w:p>
    <w:p>
      <w:r>
        <w:rPr>
          <w:b/>
        </w:rPr>
        <w:t>E. 4</w:t>
      </w:r>
    </w:p>
    <w:p>
      <w:r>
        <w:t>Die Rechtmässigkeit der SEM-Verfügung vom 8. Mai 2017 wurde vom Bundesverwaltungsgericht mit Urteil D-3248/2017 vom 25. März 2020 nicht nur bezüglich der Nichtzuerkennung der Flüchtlingseigenschaft und Verweigerung des Asyls, sondern auch bezüglich der Wegweisung an sich bejaht, womit die Dispositivziffern 1 bis 3 der SEM-Verfügung vom 8. Mai 2017 in Rechtskraft erwuchsen. Gegenstand des vorliegenden Beschwerdeverfahrens bildet demnach ausschliesslich der Vollzug der Wegweisung.</w:t>
      </w:r>
    </w:p>
    <w:p>
      <w:r>
        <w:rPr>
          <w:b/>
        </w:rPr>
        <w:t>E. 5.1</w:t>
      </w:r>
    </w:p>
    <w:p>
      <w:r>
        <w:t>Die Vorinstanz hielt in ihrem ablehnenden Entscheid vom 30. Dezember 2020 vorab fest, da der Beschwerdeführer und C._______ keine Beziehung mehr führten, sei eine der Grundvoraussetzungen für einen Anspruch auf Erteilung einer Aufenthaltsbewilligung gemäss Art. 44 AIG (SR 142.20) nicht erfüllt. Im Weiteren führte das SEM aus, gemäss Eingabe der Rechtsvertretung vom 8. Mai 2020 verweigere C._______ dem Beschwerdeführer jeglichen Kontakt zu den Kindern D._______ und E._______ und lasse keine Besuche zu. Der Beschwerdeführer würde seine Kinder lediglich bei spontanen Begegnungen auf der Strasse sehen. In der Eingabe vom 3. September 2020 werde bestätigt, dass sich an dieser Situation nichts geändert habe, womit auch hier eine gelebte Beziehung zu den Kindern klarerweise nicht gegeben sei. Dabei sei der vom Beschwerdeführer bekundete Wille, eine gelebte Beziehung zu den Kindern zu führen, unerheblich, solange diese de facto dennoch nicht bestehe. Demnach könne der Beschwerdeführer aus der ehemaligen Beziehung zu C._______ sowie aus der geltend gemachten Vaterschaft der Kinder D._______ und E._______ kein Wegweisungsvollzugshindernis ableiten.</w:t>
      </w:r>
    </w:p>
    <w:p>
      <w:r>
        <w:rPr>
          <w:b/>
        </w:rPr>
        <w:t>E. 5.2</w:t>
      </w:r>
    </w:p>
    <w:p>
      <w:r>
        <w:t>In der Beschwerdeschrift wird - unter Wiederholung des Sachverhalts - bemerkt, die beiden Kinder verfügten über Aufenthaltsbewilligungen B, weshalb sich ein eventueller Anspruch des Beschwerdeführers auch über die Kinder ableiten liesse, zumal der Beschwerdeführer sein Besuchsrecht unverschuldet nicht habe ausüben können. Sodann wird gerügt, die Vor-instanz sei mit keinem Wort auf das Recht auf Familienleben gemäss Art. 8 EMRK eingegangen und habe es auch gänzlich unterlassen, auf das Kindeswohl einzugehen. Der Beschwerdeführer habe indes bis zur Trennung von der Kindsmutter eine gelebte Beziehung zum Sohn D._______ geführt, und im Übrigen sei auch für das Wohlbefinden und die Entwicklung des zweitgeborenen Sohnes eine regelmässige Beziehung zu seinem Vater wichtig. Eine solche Beziehung könnte nach einer Rückkehr des Beschwerdeführers nach Eritrea nicht weitergeführt werden. Der Beschwerdeführer befinde sich zudem seit über fünf Jahren in der Schweiz und sei vorbildlich integriert; auch habe er mittlerweile eine unbefristete Vollzeitstelle antreten können. Die Vorinstanz habe daher das Vorliegen der Zulässigkeit und Zumutbarkeit seines Wegweisungsvollzugs zu Unrecht bejaht (vgl. Beschwerde S. 7-11). Des Weiteren wird in der Beschwerdeeingabe (vgl. S. 8 Ziff. 23 f. und S. 10 Ziff. 30) eine unvollständige und unrichtige Abklärung des rechtserheblichen Sachverhalts sowie eine Verletzung der Begründungspflicht und des rechtlichen Gehörs vorgebracht.</w:t>
      </w:r>
    </w:p>
    <w:p>
      <w:r>
        <w:rPr>
          <w:b/>
        </w:rPr>
        <w:t>E. 6.1</w:t>
      </w:r>
    </w:p>
    <w:p>
      <w:r>
        <w:t>Soweit in der Beschwerdeschrift formelle Rügen erhoben werden, sind diese vorab zu beurteilen, da sie allenfalls geeignet sein könnten, eine Kassation der vorinstanzlichen Verfügung zu bewirken.</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Dem Beschwerdeführer ist insoweit Recht zu geben, als das SEM sich in seiner angefochtenen Verfügung nicht explizit zum Recht auf Familienleben gemäss Art. 8 EMRK oder zur Frage des Kindeswohls äusserte. Mit Schreiben vom 24. April 2020 wurde dem Beschwerdeführer jedoch Gelegenheit gegeben, sich zu verschiedenen mit seiner Beziehung zu den beiden Kindern und deren Mutter in Zusammenhang stehenden Fragen zu äussern, wobei die Darlegungen in der Stellungnahme vom 8. Mai 2020 und in der Eingabe vom 3. September 2020 sehr wohl - soweit im vorliegenden, lediglich die Frage der Zulässigkeit und Zumutbarkeit des Wegweisungsvollzugs betreffenden Verfahren überhaupt von Bedeutung - Eingang in die in diesem Zusammenhang stehenden Erwägungen in der angefochtenen Verfügung gefunden haben. Inwiefern der Sachverhalt nicht vollständig oder unrichtige erstellt worden sein soll, ist nicht ersichtlich. Sodann beruht die vorinstanzliche Argumentation gerade darauf, dass die Grundvoraussetzung für die Anwendbarkeit von Art. 8 EMRK - das Bestehen einer tatsächlich gelebten Beziehung - fehle. Bei dieser Sachlage sind die Ausführungen im angefochtenen Entscheid zwar knapp, aber genügend. Der blosse Umstand, dass der Beschwerdeführer die vom SEM gezogenen Schlüsse nicht teilt, ist keine Verletzung der Begründungspflicht beziehungsweise des Anspruchs auf rechtliches Gehör, sondern eine materielle Frage. Dasselbe gilt auch für den Vorwurf der unvollständigen und unrichtigen Abklärung des rechtserheblichen Sachverhalts, soweit sich dieser im Kern nicht gegen die Sachverhaltsfeststellungen der Vorinstanz, sondern gegen die rechtliche Würdigung der Vorbringen und eingereichten Beweismittel richtet.</w:t>
      </w:r>
    </w:p>
    <w:p>
      <w:r>
        <w:rPr>
          <w:b/>
        </w:rPr>
        <w:t>E. 6.4</w:t>
      </w:r>
    </w:p>
    <w:p>
      <w:r>
        <w:t>Die formellen Rügen erweisen sich angesichts dieser Sachlage als unbegründet, weshalb keine Veranlassung besteht, die SEM-Verfügung vom 30. Dezember 2020 aus formellen Gründen aufzuheben und die Sache zur Neubeurteilung an die Vorinstanz zurückzuweisen. Der entsprechende Eventualantrag ist somit abzuweisen.</w:t>
      </w:r>
    </w:p>
    <w:p>
      <w:r>
        <w:rPr>
          <w:b/>
        </w:rPr>
        <w:t>E. 7</w:t>
      </w:r>
    </w:p>
    <w:p>
      <w:r>
        <w:t>Die Frage, ob die familiäre Konstellation des Beschwerdeführers seiner Wegweisung entgegenstehen könnte, wurde im Beschwerdeurteil D-3248/2017 bereits behandelt (vgl. vorstehend E. 4). Auf die Thematik eines grundsätzlichen Anspruchs auf Erteilung einer Aufenthaltsbewilligung ist deshalb nicht weiter einzugehen.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Da der Beschwerdeführer die Flüchtlingseigenschaft nicht erfüllt, ist das flüchtlingsrechtliche Rückschiebeverbot von Art. 33 Abs. 1 des Abkommens vom 28. Juli 1951 über die Rechtsstellung der Flüchtlinge (FK, SR 0.142.30) nicht anwendbar.</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 Aufgrund des heutigen Alters des Beschwerdeführers kann ein allfälliger (erneuter) Einzug in den Nationaldienst bei seiner Rückkehr nicht ausgeschlossen werden (vgl. zur eritreischen Musterungspraxis auch das Referenzurteil des BVGer D-2311/2016 vom 17. August 2017 E. 13.2-13.4 [als Referenzurteil publiziert]). Die Frage kann aber mit Verweis auf die nachfolgenden Erwägungen offenbleiben. Das Bundesverwaltungsgericht hat in seinem Grundsatzurteil BVGE 2018 VI/4 vom 10. Juli 2018 die Frage der Zulässigkeit des Wegweisungsvollzugs bei drohender Einziehung in den eritreischen Nationaldienst unter den Aspekten des Zwangsarbeitsverbots (Art. 4 Abs. 2 EMRK), des Folterverbots und der unmenschlichen und erniedrigenden Behandlung (Art. 3 EMRK) geklärt. Nach eingehender Quellenanalyse kam es zum Schluss, die Bedingungen im Nationaldienst seien grundsätzlich als Zwangsarbeit im Sinn von Art. 4 Abs. 2 EMRK zu qualifizieren; durch die Einziehung in den eritreischen Nationaldienst bestünde gleichwohl nicht das ernsthafte Risiko einer schwerwiegenden Verletzung von Art. 4 Abs. 2 EMRK. Zudem sei nicht erstellt, dass die berichteten Misshandlungen und sexuellen Übergriffe derart systematisch stattfänden, dass jede Nationaldienstleistende und jeder Nationaldienstleistende dem ernsthaften Risiko ausgesetzt wäre, selbst solche Übergriffe zu erleiden (vgl. BVGE 2018 IV/4 E. 6.1, insbesondere E. 6.1.5). Weiter verneinte es das ernsthafte Risiko einer Verletzung von Art. 3 EMRK im Falle einer Einziehung in den eritreischen Nationaldienst (vgl. BVGE 2018 IV/4 E. 6.1.6), da keine hinreichenden Belege dafür existierten, wonach Misshandlungen und sexuelle Übergriffe im Nationaldienst derart flächendeckend stattfinden würden, so dass jede Dienstleistende und jeder Dienstleistende dem ernsthaften Risiko ausgesetzt wäre, selbst solche Übergriffe zu erleiden. Aus den Akten ergeben sich keine Anhaltspunkte für die Annahme, der Beschwerdeführer müsste bei einer freiwilligen Rückkehr in den Heimatstaat dort mit beachtlicher Wahrscheinlichkeit eine nach Art. 3 EMRK oder Art. 1 FoK verbotene Strafe oder Behandlung befürchten. Auch die allgemeine Menschenrechtssituation in Eritrea lässt den Wegweisungsvollzug zum heutigen Zeitpunkt praxisgemäss nicht als unzulässig erscheinen.</w:t>
      </w:r>
    </w:p>
    <w:p>
      <w:r>
        <w:rPr>
          <w:b/>
        </w:rPr>
        <w:t>E. 8.2.3</w:t>
      </w:r>
    </w:p>
    <w:p>
      <w:r>
        <w:t>Zu prüfen bleibt, ob Art. 8 EMRK unter den gegebenen Umständen ein Wegweisungsvollzugshindernis darstellt.</w:t>
      </w:r>
    </w:p>
    <w:p>
      <w:r>
        <w:rPr>
          <w:b/>
        </w:rPr>
        <w:t>E. 8.2.3.1</w:t>
      </w:r>
    </w:p>
    <w:p>
      <w:r>
        <w:t>Gemäss ständiger bundesgerichtlicher Rechtsprechung kann sich jemand nur dann auf den Schutz des Familienlebens nach Art. 8 EMRK berufen, wenn eine nahe, echte und tatsächlich gelebte familiäre Beziehung zu einer in der Schweiz gefestigt anwesenheitsberechtigen Person besteht und es dieser nicht möglich beziehungsweise zumutbar wäre, das entsprechende Familienleben andernorts zu pflegen (vgl. BGE 139 I 330 E. 2.1 m.H.).</w:t>
      </w:r>
    </w:p>
    <w:p>
      <w:r>
        <w:rPr>
          <w:b/>
        </w:rPr>
        <w:t>E. 8.2.3.2</w:t>
      </w:r>
    </w:p>
    <w:p>
      <w:r>
        <w:t>Den Akten zufolge hat der Beschwerdeführer nie mit seinen beiden Kindern in einem gemeinsamen Haushalt gelebt. C._______ trennte sich noch vor der Geburt des zweiten Sohnes im (...) vom Beschwerdeführer und verweigert ihm seither jeglichen Kontakt zu den beiden Kindern, wobei auch nie ein Besuchsrecht vereinbart oder eingeräumt wurde. Zwar habe der Beschwerdeführer seinen älteren Sohn D._______ bis zum Alter von eineinhalb Jahren, mithin bis vor knapp zwei Jahren, noch regelmässig besucht (vgl. Beschwerde S. 8 Ziff. 23), dennoch ist das Bestehen einer nahen, echten und tatsächlich gelebten familiären Beziehung für den heutigen Zeitpunkt zu beiden Kindern klar zu verneinen. Auch wenn der Beschwerdeführer seine Vaterschaft anerkannt hat und sich darum bemüht, Kontakt zu seinen Kindern zu pflegen, vermag dies nichts daran zu ändern, dass die Beziehung in tatsächlicher Weise einer bestimmten Nähe nicht genügt (vgl. dazu etwa Urteil BVGer E-2006/2018 vom 3. Juni 2019 E. 7.4). Art. 8 EMRK beabsichtigt den Schutz der tatsächlich bestehenden Beziehung, nicht den Schutz des (legitimen) Wunsches einer künftigen Beziehungsaufnahme oder -wiederaufnahme. Dass die Kindsmutter die Beziehungsaufnahme oder -wiederaufnahme vereitelt, ist möglicherweise nicht gutzuheissen, ändert aber am Fehlen einer bestehenden Beziehung nichts. Sodann besteht auch in wirtschaftlicher Hinsicht keine Beziehung im Sinne von Art. 8 EMRK, zumal der Beschwerdeführer mangels finanzieller Leistungsfähigkeit bis anhin gar nicht in der Lage gewesen wäre, Kindesunterhaltsbeiträge auszurichten. An dieser Feststellung vermag auch nichts zu ändern, dass der Beschwerdeführer von Ende April 2020 bis Ende September 2020 erwerbstätig war und anfangs Januar 2021 eine neue Stelle als (...) angetreten hat. Die zusammen mit der Stellungnahme vom 8. Mai 2020 eingereichte "Vollmacht und Abtretungserklärung" gibt ebenfalls keinen Hinweis auf geleistete Unterhaltsbeiträge; vielmehr handelt es sich beim fraglichen Dokument um eine Erklärung betreffend Abtretung eines Teils der Lohnansprüche zum Ausgleich von ihm (fälschlicherweise) vorzeitig ausgerichteter Sozialhilfeunterstützung. Somit steht das in Art. 8 EMRK statuierte Recht auf Achtung des Familienlebens vorliegend der Zulässigkeit des Wegweisungsvollzugs nicht entgegen.</w:t>
      </w:r>
    </w:p>
    <w:p>
      <w:r>
        <w:rPr>
          <w:b/>
        </w:rPr>
        <w:t>E. 8.2.4</w:t>
      </w:r>
    </w:p>
    <w:p>
      <w:r>
        <w:t>Soweit in der Beschwerde bei der Frage der Zulässigkeit des Wegweisungsvollzugs auf die Beachtung des Kindeswohls nach dem Übereinkommen vom 20. November 1989 über die Rechte des Kindes (KRK, SR 0.107) Bezug genommen wird, ist festzuhalten, dass die Vorbringen zum Kindeswohl praxisgemäss unter dem Gesichtspunkt der Zumutbarkeit des Wegweisungsvollzugs zu prüfen sind (vgl. etwa Urteil des Bundesverwaltungsgerichts D-2978/2020 vom 17. November 2020 E. 10.2.6).</w:t>
      </w:r>
    </w:p>
    <w:p>
      <w:r>
        <w:rPr>
          <w:b/>
        </w:rPr>
        <w:t>E. 8.2.5</w:t>
      </w:r>
    </w:p>
    <w:p>
      <w:r>
        <w:t>Der Vollzug der Wegweisung erweist sich demnach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8.3.2</w:t>
      </w:r>
    </w:p>
    <w:p>
      <w:r>
        <w:t>Im vorstehend erwähnten Grundsatzentscheid BVGE 2018 IV/4 kam das Bundesverwaltungsgericht zum Schluss, dass die drohende Einziehung in den Nationaldienst nicht zur Unzumutbarkeit des Wegweisungsvollzugs führe (a.a.O., E. 6.2.3-6.2.5). Eine allfällige Einziehung des Beschwerdeführers in den Nationaldienst bei einer (freiwilligen) Rückkehr nach Eritrea führt damit nicht zur Unzumutbarkeit des Wegweisungsvollzugs. 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profitiere. Angesichts der schwierigen allgemeinen Lage des Landes muss jedoch in Einzelfällen nach wie vor von einer Existenzbedrohung ausgegangen werden, wenn besondere Umstände vorliegen. Anders als noch unter der früheren Rechtsprechung sind begünstigende individuelle Faktoren nicht mehr zwingende Voraussetzung für die Zumutbarkeit des Wegweisungsvollzugs (vgl. Referenzurteil des BVGer D-2311/2016 vom 17. August 2017 E. 16 f.).</w:t>
      </w:r>
    </w:p>
    <w:p>
      <w:r>
        <w:rPr>
          <w:b/>
        </w:rPr>
        <w:t>E. 8.3.3</w:t>
      </w:r>
    </w:p>
    <w:p>
      <w:r>
        <w:t>Beim Beschwerdeführer handelt es sich um einen jungen, soweit aktenkundig gesunden Mann mit (...) Schulbildung sowie Berufserfahrung in der heimatlichen (...) und - in der Schweiz - im (...) und in einem (...). Ausserdem verfügt er über ein intaktes familiäres Beziehungsnetz; seine Eltern und Geschwister sollen nach wie vor im Heimatdorf leben, wobei es der Familie wirtschaftlich gut gehe (vgl. Akten SEM A29 zu F23-29, F35-38, F123, F135 f. und F269-272). Es ist davon auszugehen, dass seine Familie ihn nach einer Rückkehr bei seiner sozialen und wirtschaftlichen Wiedereingliederung unterstützen werden.</w:t>
      </w:r>
    </w:p>
    <w:p>
      <w:r>
        <w:rPr>
          <w:b/>
        </w:rPr>
        <w:t>E. 8.3.4</w:t>
      </w:r>
    </w:p>
    <w:p>
      <w:r>
        <w:t>Zu keinem anderen Ergebnis führt das in der Beschwerde angerufene Kindeswohl. Nachdem die beiden Kinder zu ihrem Vater lediglich bis zum Alter von eineinhalb Jahren beziehungsweise gar nie Kontakt gehabt haben, ist - entgegen der in der Beschwerde (vgl. S. 8 Ziff. 24) vertretenen Auffassung - nicht unmittelbar ersichtlich, dass die Anwesenheit beziehungsweise der Verbleib des Beschwerdeführers in der Schweiz für deren Wohlbefinden und Entwicklung unabdingbar sein könnte. Ohne Zweifel stellt heute die Kindsmutter die Hauptbezugsperson der Kinder dar. Dass im Grundsatz das Bestehen einer gelebten Vater-Kind-Beziehung wünschenswert sein kann, ändert nichts. Schliesslich ist daran zu erinnern, dass es vorliegend nicht um den Wegweisungsvollzug der Kinder, sondern um denjenigen des Kindsvaters geht.</w:t>
      </w:r>
    </w:p>
    <w:p>
      <w:r>
        <w:rPr>
          <w:b/>
        </w:rPr>
        <w:t>E. 8.3.5</w:t>
      </w:r>
    </w:p>
    <w:p>
      <w:r>
        <w:t>Nach dem Gesagten ist der Vollzug der Wegweisung sowohl in allgemeiner als auch in individueller Hinsicht als zumutbar zu bezeichnen.</w:t>
      </w:r>
    </w:p>
    <w:p>
      <w:r>
        <w:rPr>
          <w:b/>
        </w:rPr>
        <w:t>E. 8.4</w:t>
      </w:r>
    </w:p>
    <w:p>
      <w:r>
        <w:t>Zwar ist darauf hinzuweisen, dass derzeit die zwangsweise Rückführung abgewiesener Asylsuchender nach Eritrea zurzeit generell nicht möglich ist.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BVGE 2008/34 E. 12). Der Vollzug der Wegweisung ist folglich auch als möglich zu bezeichnen (Art. 83 Abs. 2 AIG).</w:t>
      </w:r>
    </w:p>
    <w:p>
      <w:r>
        <w:rPr>
          <w:b/>
        </w:rPr>
        <w:t>E. 8.5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8.6</w:t>
      </w:r>
    </w:p>
    <w:p>
      <w:r>
        <w:t>Zusammenfassend ist festzuhalten, dass die die Vorinstanz den Wegweisungsvollzug zu Recht als zulässig, zumutbar und möglich bezeichnet hat.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(Art. 63 Abs. 4 VwVG) ist mit vorliegendem Direktentscheid gegenstandslos geworden.</w:t>
      </w:r>
    </w:p>
    <w:p>
      <w:r>
        <w:rPr>
          <w:b/>
        </w:rPr>
        <w:t>E. 10.2</w:t>
      </w:r>
    </w:p>
    <w:p>
      <w:r>
        <w:t>Die Beschwerdebegehren erwiesen sich nach dem Gesagten als aussichtslos, weshalb die Gesuche um Gewährung der unentgeltlichen Prozessführung gemäss Art. 65 Abs. 1 VwVG und um Beiordnung von MLaw Sophia Delgado als amtliche Rechtsbeiständin im Sinne von aArt. 110a Abs. 1 AsylG - ungeachtet der eingereichten Fürsorgeabhängigkeitsbestätigung - abzuweisen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