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D-5106/2016 vom 9. Februar 2017</w:t>
      </w:r>
    </w:p>
    <w:p>
      <w:r>
        <w:t>Bundesverwaltungsgericht, 2017-02-09, DE</w:t>
      </w:r>
    </w:p>
    <w:p>
      <w:r>
        <w:rPr>
          <w:b/>
        </w:rPr>
        <w:t xml:space="preserve">Quelle: </w:t>
      </w:r>
      <w:r>
        <w:t>https://mcp.opencaselaw.ch/entscheid/bvger_D-5106_2016</w:t>
      </w:r>
    </w:p>
    <w:p>
      <w:r>
        <w:t>FR: TAF D-5106/2016 du 9 février 2017</w:t>
      </w:r>
    </w:p>
    <w:p>
      <w:r>
        <w:t>IT: TAF D-5106/2016 del 9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erste Asylverfahren des Beschwerdeführers wurde bezüglich Asyl und Flüchtlingseigenschaft rechtskräftig abgeschlossen. Im vorliegenden Verfahren wurde die Verweigerung des Asyls nicht angefochten. Prozessgegenstand sind demnach die Fragen, ob der Beschwerdeführer aufgrund exilpolitischer Aktivitäten die Flüchtlingseigenschaft erfüllt und ob der Wegweisungsvollzug zurecht angeordnet wurde.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jedoch durch den - gesetzgebungstechnisch an sich unnötigen - ausdrücklichen Hinweis auf den Vorbehalt der Geltung des Abkommens vom 28. Juli 1951 über die Rechtsstellung der Flüchtlinge (FK, SR 0.142.30) wieder relativiert (vgl. Art. 3 Abs. 4 in fine AsylG und Bundesverwaltungsgerichtsurteil E-4192/2013 vom 5. Februar 2014 E. 5.2).</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Im Folgenden bleibt zu prüfen, ob der Beschwerdeführer durch sein Verhalten nach der Ausreise aus dem Heimatland einen Grund für eine zukünftige Verfolgung durch die iranischen Behörden im Sinne von Art. 3 Abs. 1 AsylG gesetzt hat und deshalb die Flüchtlingseigenschaft erfüllt.</w:t>
      </w:r>
    </w:p>
    <w:p>
      <w:r>
        <w:rPr>
          <w:b/>
        </w:rPr>
        <w:t>E. 5.2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unter bestimmten Umständen (vgl. den obenstehend erwähnten Art. 3 Abs. 4 AsylG) als Flüchtlinge vorläufig aufgenommen (vgl. Art. 54 AsylG; BVGE 2009/28 E. 7.1).</w:t>
      </w:r>
    </w:p>
    <w:p>
      <w:r>
        <w:rPr>
          <w:b/>
        </w:rPr>
        <w:t>E. 5.3</w:t>
      </w:r>
    </w:p>
    <w:p>
      <w:r>
        <w:t>Mit Urteil vom 17. September 2014 verneinte das Bundesverwaltungsgericht beim Beschwerdeführer eine Gefährdung wegen subjektiver Nachfluchtgründe. Das Dossier des Beschwerdeführers zu seinen politischen Aktivitäten in der Schweiz könne insofern mit denjenigen einer Vielzahl seiner Landsleute in Übereinstimmung gebracht werden, als sich seine politische Tätigkeit kaum von den üblichen Aktivitäten anderer Iraner abhebe. Im aktuellen Zeitpunkt und mithin mehr als zwei Jahre später ist aber doch eine deutliche Schärfung seines politischen Profils erkennbar. So hat er bei verschiedenen exiliranischen Organisationen Funktionen inne, die - auch wenn sie wohl nach wie vor nicht als herausragend bezeichnet werden können - mit einer zunehmenden Exponierung verbunden waren und sind. Einleitend ist festzuhalten, dass er der ethnischen Minderheit der Aserbaidschaner angehört, deren Situation vor Ort als teilweise prekär beschrieben wird (vgl. Amnesty International Report 2015/16 S. 190 ff.). Hinzu kommt, dass kürzlich türkisch-aserbaidschanische Parlamentsabgeordnete (...) gebildet haben sollen. Auch wenn darin allenfalls ein erster Schritt im Hinblick auf die Realisierung von Schutzrechten der Aserbaidschaner im Land erblickt werden könnte, ist dieses Unterfangen als mutig zu bezeichnen, da die iranische Führung in der Regel danach trachtet, die ethnische Diversität im Land auf dem politischen Feld möglichst zu eliminieren (...). Vor diesem Hintergrund ist offensichtlich, dass die iranischen Sicherheitskräfte ein Interesse haben, oppositionelle Aserbaidschaner auch im Exil genau zu überwachen. In diesem Zusammenhang ist darauf hinzuweisen, dass der Beschwerdeführer wiederholt an UN-events aufgetreten ist. Mit Eingabe vom 26. April 2016 machte er geltend, erneut an einem solchen Anlass teilgenommen zu haben. Als Mitglied der Organisation «(...)») habe er eine Rede gehalten. Dabei habe er auf die Missachtung der Rechte der Minderheit hingewiesen. Die Rede habe er in englischer Sprache gehalten. Sie sei auf dem (...) der UNO übertragen worden und auch auf (...) abrufbar. Auch im (...) 2016 habe er als Vertreter einer Exilvereinigung an eine UN-Sitzung teilgenommen. Den Sitzungsteilnehmern und (...) habe er ein achtseitiges Statement seiner Vereinigung überreicht. In zwei Workshops habe er Aspekte (...) vertieft. Davon zeugten Videos, welche auf (...) abrufbar seien. Das Gericht hat keinen Anlass, am geltend gemachten exilpolitischen Engagement zu zweifeln. Zusammen mit dem publizistischen Engagement im Netz verbunden mit der namentlichen Erwähnung in verschiedenen solchen Gefässen und der filmischen Aufnahmen ist eine Identifizierung nunmehr wahrscheinlich. Er dürfte angesichts einer gewissen Prominenz seines Wirkens im Umfeld der UNO verbunden mit der erwähnten häufigen Präsenz im Netz sowie der Vielzahl der von ihm unterstützten Organisationen das Interesse des iranischen Regimes geweckt haben, zumal er ja überdies auch als behördliche Ansprechperson bei einer Veranstaltung in G._______ mitwirkte. Abgesehen von der erwähnten Schärfung seines politischen Profils fällt des Weiteren ins Gewicht, dass er sich seit mehr als vier Jahren in der Schweiz aufhält und sich an sehr vielen regimefeindlichen Kundgebungen verbunden wie erwähnt mit entsprechenden Aufnahmen im Internet beteiligt hat. Insgesamt weist er aktuell ein politisches Profil auf, welches den Argwohn der iranischen Sicherheitskräfte im Sinne einer Identifizierung und Fichierung als zwar nicht hochkarätigen, aber als Angehöriger einer Minderheit, die Diskriminierung und Unterdrückung ausgesetzt ist, durchaus ernst zu nehmenden Regimegegner erweckt haben dürfte. Er vermittelt demnach das Bild einer kommunikationsprofilierten Person mit klar definierten Vorstellungen und einem Agitationspotential, welches in den Augen des iranischen Regimes durchaus als gefährlich und systemuntergrabend aufgefasst werden kann. Als blosser Mitläufer in der Masse der Unzufriedenen kann er nicht mehr bezeichnet werden. Aus dem Gesagten ergibt sich vor dem Hintergrund der greifbaren Informationen zur Menschenrechtslage im Iran, dass er berechtigterweise befürchten muss, bei einer Rückkehr ins Heimatland als Folge seiner Exilaktivitäten strafrechtlich belangt, dabei in Haft genommen und einer flüchtlingsrechtlich relevanten Gefährdung des Leibes, des Lebens und der Freiheit ausgesetzt zu werden. Der Beschwerdeführer erfüllt damit die Flüchtlingseigenschaft gemäss Flüchtlingskonvention (vgl. Art. 3 Abs. 4 AsylG). Es kann mithin davon abgesehen werden, auf weitere Vorbringen und die Beweismittel näher einzugehen.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Aus den vorstehenden Erwägungen ergibt sich, dass der Beschwerdeführer begründete Furcht vor zukünftiger Verfolgung im Sinne von Art. 3 AsylG glaubhaft machen konnte. Der Vollzug der Wegweisung in den Iran erweist sich daher wegen drohender Verletzung des flüchtlingsrechtlichen Gebots des Non-Refoulement (Art. 5 AsylG) sowie auch mit Blick auf Art. 3 EMRK als unzulässig, da davon ausgegangen werden muss, dass er im Falle seiner Rückkehr ins Heimatland mit beachtlicher Wahrscheinlichkeit menschenrechtswidriger Behandlung ausgesetzt wäre.</w:t>
      </w:r>
    </w:p>
    <w:p>
      <w:r>
        <w:rPr>
          <w:b/>
        </w:rPr>
        <w:t>E. 8</w:t>
      </w:r>
    </w:p>
    <w:p>
      <w:r>
        <w:t>Diesen Erwägungen gemäss ist die Beschwerde gutzuheissen und der Beschwerdeführer als Flüchtling vorläufig aufzunehmen. Insofern als ihm in der angefochtenen Verfügung die Gewährung von Asyl verweigert und die Wegweisung angeordnet wird, ist dies zu bestätigen.</w:t>
      </w:r>
    </w:p>
    <w:p>
      <w:r>
        <w:rPr>
          <w:b/>
        </w:rPr>
        <w:t>E. 9.1</w:t>
      </w:r>
    </w:p>
    <w:p>
      <w:r>
        <w:t>Bei diesem Ausgang des Verfahrens sind keine Kosten aufzuerlegen.</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am 20. September 2016 eingereichten Kostennote aufgeführte Aufwand von Fr. 1801.- erscheint angemessen, wobei am 1. Dezember 2016 noch eine weitere Eingabe übermittelt wurde. Dem Beschwerdeführer ist daher zulasten der Vorinstanz eine Parteientschädigung von insgesamt Fr. 2000.-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