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D-5106/2014 vom 2. Februar 2016</w:t>
      </w:r>
    </w:p>
    <w:p>
      <w:r>
        <w:t>Bundesverwaltungsgericht, 2016-02-02, DE</w:t>
      </w:r>
    </w:p>
    <w:p>
      <w:r>
        <w:rPr>
          <w:b/>
        </w:rPr>
        <w:t xml:space="preserve">Quelle: </w:t>
      </w:r>
      <w:r>
        <w:t>https://mcp.opencaselaw.ch/entscheid/bvger_D-5106_2014</w:t>
      </w:r>
    </w:p>
    <w:p>
      <w:r>
        <w:t>FR: TAF D-5106/2014 du 2 février 2016</w:t>
      </w:r>
    </w:p>
    <w:p>
      <w:r>
        <w:t>IT: TAF D-5106/2014 del 2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beziehungsweise SEM ist nach Art. 33 VGG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und die Beschwerdeführenden sind zur Einreichung der Beschwerde legitimiert (Art. 105 und Art. 108 Abs. 1 AsylG, Art. 48 Abs. 1 sowie Art. 52 Abs. 1 VwVG). Auf die Beschwerde ist einzutreten.</w:t>
      </w:r>
    </w:p>
    <w:p>
      <w:r>
        <w:rPr>
          <w:b/>
        </w:rPr>
        <w:t>E. 2</w:t>
      </w:r>
    </w:p>
    <w:p>
      <w:r>
        <w:t>Mit Beschwerde können die Verletzung von Bundesrecht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gelangt in Übereinstimmung mit der Vor­instanz zum Schluss, dass die Vorbringen der Beschwerdeführenden, Syrien aufgrund der Bürgerkriegswirren und ihrer Folgen verlassen zu haben, aufgrund der fehlenden erforderlichen Gezieltheit der Verfolgungsmassnahmen die Anforderungen an die Flüchtlingseigenschaft im Sinne von Art. 3 AsylG nicht erfüllen. In der Beschwerde wurde im Wesentlichen geltend gemacht, den Beschwerdeführenden sei aufgrund ihres christlichen Glaubens Asyl zu gewähren. Hierzu ist in Bestätigung der vorinstanzlichen Ausführungen festzuhalten, dass es sich bei Syrien um einen laizistischen Staat handelt, in welchem Christen nicht generell verfolgt werden. Auch der Hinweis auf Verfolgungen von Christen durch den sog. Islamischen Staat oder andere dschihadistische Gruppierungen vermag daran nichts zu ändern, da die aus F._______ in der Provinz G._______ stammenden Beschwerdeführenden davon nicht betroffen sind. Das Bundesverwaltungsgericht hat bisher denn auch keine Kollektivverfolgung von Christen in Syrien festgestellt (vgl. Urteile des BVGer E-2764/2015 vom 28. Oktober 2015, D-2373/2015 vom 30. Juli 2015 E. 6.3; E-5549/2014 vom 10. Juni 2015 E. 5.2.3 und D-5561/2014 vom 28. Mai 2015 E. 5.1). Zusammenfassend ist festzustellen, dass die Beschwerdeführenden die Flüchtlingseigenschaft nicht erfüllen, weshalb das SEM die Asylgesuche zu Recht abgelehnt hat.</w:t>
      </w:r>
    </w:p>
    <w:p>
      <w:r>
        <w:rPr>
          <w:b/>
        </w:rPr>
        <w:t>E. 5</w:t>
      </w:r>
    </w:p>
    <w:p>
      <w:r>
        <w:t>Gemäss Art. 44 AsylG verfügt das Staatssekretariat in der Regel die Wegweisung aus der Schweiz, wenn es das Asylgesuch ablehnt oder darauf nicht eintritt. Die Beschwerdeführenden verfügen weder über eine ausländerrechtliche Aufenthaltsbewilligung noch über einen Anspruch auf Erteilung einer solchen. Die Wegweisung ist nicht zu beanstanden (Art. 44 AsylG; vgl. BVGE 2013/37 E 4.4; 2009/50 E. 9, je m.w.H).</w:t>
      </w:r>
    </w:p>
    <w:p>
      <w:r>
        <w:rPr>
          <w:b/>
        </w:rPr>
        <w:t>E. 6</w:t>
      </w:r>
    </w:p>
    <w:p>
      <w:r>
        <w:t>Mit der angefochtenen Verfügung wurden die Beschwerdeführenden wegen Unzumutbarkeit des Wegweisungsvollzugs vorläufig in der Schweiz aufgenommen. Weitere Ausführungen zur Frage des Wegweisungsvollzugs erübrigen sich daher.</w:t>
      </w:r>
    </w:p>
    <w:p>
      <w:r>
        <w:rPr>
          <w:b/>
        </w:rPr>
        <w:t>E. 7</w:t>
      </w:r>
    </w:p>
    <w:p>
      <w:r>
        <w:t>Aus diesen Erwägungen ergibt sich, dass die angefochtene Verfügung Bundesrecht nicht verletzt und den rechtserheblichen Sachverhalt richtig sowie vollständig feststellt (Art. 106 Abs. 1 AsylG). Die Beschwerde ist abzuweisen und die vorinstanzliche Verfügung zu bestätigen.</w:t>
      </w:r>
    </w:p>
    <w:p>
      <w:r>
        <w:rPr>
          <w:b/>
        </w:rPr>
        <w:t>E. 8</w:t>
      </w:r>
    </w:p>
    <w:p>
      <w:r>
        <w:t>Bei diesem Ausgang des Verfahrens wären dessen Kosten grundsätzlich den Beschwerdeführenden aufzuerlegen (Art. 63 Abs. 1 VwVG). Indessen ist in Anwendung von Art. 6 Bst. b des Reglements vom 21. Februar 2008 über die Kosten und Entschädigungen vor dem Bundesverwaltungsgericht (VGKE, SR 173.320.2) auf die Erhebung von Verfahrenskosten zu verzichten. Damit wird das Gesuch um Gewährung der unentgeltlichen Rechtspflege im Sinne von Art. 65 Abs. 1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