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D-5102/2020 vom 1. Dezember 2020</w:t>
      </w:r>
    </w:p>
    <w:p>
      <w:r>
        <w:t>Bundesverwaltungsgericht, 2020-12-01, DE</w:t>
      </w:r>
    </w:p>
    <w:p>
      <w:r>
        <w:rPr>
          <w:b/>
        </w:rPr>
        <w:t xml:space="preserve">Quelle: </w:t>
      </w:r>
      <w:r>
        <w:t>https://mcp.opencaselaw.ch/entscheid/bvger_D-5102_2020</w:t>
      </w:r>
    </w:p>
    <w:p>
      <w:r>
        <w:t>FR: TAF D-5102/2020 du 1 décembre 2020</w:t>
      </w:r>
    </w:p>
    <w:p>
      <w:r>
        <w:t>IT: TAF D-5102/2020 del 1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Der Beschwerdeführer ist legitimiert (Art. 105 AsylG i.V.m. Art. 37 VGG und Art. 48 Abs. 1 VwVG). Auf die frist- und formgerecht eingereichte Beschwerde (aArt. 108 Abs. 1 AsylG; Art. 105 AsylG i.V.m. Art. 37 VGG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wird auf einen Schriftenwechsel verzichtet.</w:t>
      </w:r>
    </w:p>
    <w:p>
      <w:r>
        <w:rPr>
          <w:b/>
        </w:rPr>
        <w:t>E. 3.1</w:t>
      </w:r>
    </w:p>
    <w:p>
      <w:r>
        <w:t>Gemäss Art. 2 Abs. 1 AsylG gewährt die Schweiz Flüchtlingen grundsätzlich Asyl. Flüchtlinge sind Personen,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4.1</w:t>
      </w:r>
    </w:p>
    <w:p>
      <w:r>
        <w:t>Der Beschwerdeführer macht geltend, er habe Sri Lanka erstmals im November 2017 verlassen, weil er wiederholt von unbekannten Personen gesucht worden sei. Die zweite Ausreise aus seiner Heimat sei erfolgt, weil er erneut von Unbekannten beziehungsweise Angehörigen des TID gesucht worden sei. Er vermute, dass diese Nachstellungen im Zusammenhang mit der Tötung seines Vaters im Jahr 2006 (vgl. act. B6/18 S. 10 f. F60 und F63) beziehungsweise dessen politischer Anschauung (vgl. act. B1/18 S. 7 Ziff. 3.2) stehen könnten. Er selbst habe nie etwas mit den LTTE (Liberation Tigers of Tamil Eelam) zu tun gehabt oder sich sonstwie in irgendeiner Weise politisch exponiert (vgl. act. A5/13 S. 8 unten Ziff. 7.01 i.V.m. S. 9 Ziff. 7.01 in fine).</w:t>
      </w:r>
    </w:p>
    <w:p>
      <w:r>
        <w:rPr>
          <w:b/>
        </w:rPr>
        <w:t>E. 4.2.1</w:t>
      </w:r>
    </w:p>
    <w:p>
      <w:r>
        <w:t>Das SEM führte zur Begründung seiner Verfügung zunächst aus, es sei nicht nachvollziehbar, weshalb der Beschwerdeführer die Person seines Vaters im Kontext seiner eigenen Asylbegründung überhaupt ins Feld führe. So solle sein Vater im Jahr 2006 zu Tode gekommen sein, weshalb sich die grundsätzliche Frage stelle, inwiefern die sri-lankischen Behörden heute noch ein Interesse am Beschwerdeführer im Kontext mit der Person seines inzwischen seit längerem verstorbenen Vaters haben sollten. So hätten die sri-lankischen Behörden vornehmlich an denjenigen Personen eines Familienverbandes Interesse, welche im Zusammenhang mit den ehemaligen LTTE weiterführende Informationen zu dieser Organisation oder ihren (ehemaligen) lebenden Aktivisten liefern könnten.</w:t>
      </w:r>
    </w:p>
    <w:p>
      <w:r>
        <w:rPr>
          <w:b/>
        </w:rPr>
        <w:t>E. 4.2.2</w:t>
      </w:r>
    </w:p>
    <w:p>
      <w:r>
        <w:t>In der Beschwerde wird in diesem Zusammenhang geltend gemacht, die an den Tod des Vaters anschliessende Verfolgung seiner Familie mache deutlich, dass die sri-lankischen Behörden seinem Vater offensichtlich unterstellt hätten, Verbindungen zu den LTTE gehabt zu haben. Dies erkläre auch, weshalb der Beschwerdeführer immer wieder von Unbekannten und zuletzt von Angehörigen des TID gesucht worden sei. Der Beschwerdeführer sei somit aufgrund der Annahme der sri-lankischen Behörden, dass sein Vater eine Verbindung zu den LTTE gehabt habe, nach wie vor einer Reflexverfolgung ausgesetzt. Denn das verwandtschaftliche Verhältnis zu einem möglichen LTTE-Mitglied genüge, um in den Fokus der Behörden zu rücken (vgl. Beschwerde S. 6 Ziff. 3.2).</w:t>
      </w:r>
    </w:p>
    <w:p>
      <w:r>
        <w:rPr>
          <w:b/>
        </w:rPr>
        <w:t>E. 4.2.3</w:t>
      </w:r>
    </w:p>
    <w:p>
      <w:r>
        <w:t>Der Beschwerdeführer war im Zeitpunkt des Todes seines Vaters dreizehn Jahre alt. Zwar erwähnte er, sein Vater habe in seinem Laden für die LTTE gearbeitet (vgl. act. B6/18 S. 10 F60), betonte aber auf Nachfrage hin gleichzeitig, es habe sich dabei um eine entgeltliche Arbeitsleistung seines Vaters für die LTTE gehandelt, weshalb daraus nicht abgeleitet werden könne, sein Vater hätte die LTTE tatsächlich (politisch) unterstützt (vgl. act. B6/18 S. 11 F61). Vor diesem Hintergrund kann entgegen den Ausführungen der Vorinstanz in der angefochtenen Verfügung auch nicht davon gesprochen werden, der Beschwerdeführer habe sich widersprüchlich zum politischen Hintergrund seines Vaters geäussert (vgl. Verfügung des SEM vom 16. September. 2020 S. 4 II/1. Abs. 4). Vielmehr erscheint die Aussage des Beschwerdeführers, er wisse letztlich nicht, ob sein Vater die LTTE unterstützt habe, glaube aber persönlich nicht daran, plausibel (vgl. act. B6/18 S. 7 Mitte i.V.m. S. 10 f. F60). Andererseits stellte der Vater - sollten ihm tatsächlich politische Umtriebe im Umfeld der LTTE unterstellt worden sein - seit seinem Tod für die sri-lankischen Behörden keine Gefahr mehr dar. Es ist daher auch nicht nachvollziehbar, weshalb unbekannte Personen beziehungsweise Angehörige des TID den Beschwerdeführer wegen seines Vaters noch Jahre nach dessen Tod hätten suchen sollen. Der Beschwerdeführer hat zudem unmissverständlich erklärt, er sei in seiner Heimat nie politisch tätig gewesen (vgl. act. B6/18 S. 8 F41). Bereits vor diesem Hintergrund ist zweifelhaft, dass unbekannte Personen in den Jahren 2013 bis 2017 respektive zwischen August 2018 und Februar 2020 nach dessen Rückkehr in seine Heimat wiederholt nach dem Beschwerdeführer gesucht haben sollen.</w:t>
      </w:r>
    </w:p>
    <w:p>
      <w:r>
        <w:rPr>
          <w:b/>
        </w:rPr>
        <w:t>E. 4.3</w:t>
      </w:r>
    </w:p>
    <w:p>
      <w:r>
        <w:t>Gegen die Glaubhaftigkeit einer wiederholten Suche nach dem Beschwerdeführer spricht aber auch der Umstand, dass seine Verfolger wiederholt dessen Aufenthaltsort hätten herausfinden können, ohne dass es ihnen jemals gelungen sein soll, seiner habhaft zu werden. Der Erklärungsversuch in der Beschwerde, der Beschwerdeführer sei vorsichtig gewesen, habe immer wieder seinen Wohnsitz gewechselt und letztlich auch Glück gehabt (vgl. a.a.O. S. 6 f. Ziff. 3.3), vermag nicht zu überzeugen. Hätten die den Beschwerdeführer suchenden Personen tatsächlich - wie von ihm suggeriert - ein nachhaltiges Interesse an seiner Ergreifung gehabt, wäre es ihnen ohne weiteres möglich gewesen, ihn während seines eineinhalbjährigen Studiums in Colombo festzunehmen. Ausserdem hätten sie wohl auf geeignete Weise sichergestellt, dass ihn niemand rechtzeitig hätte warnen können, nachdem einer seiner Kollegen Unbekannten die aktuelle Wohnadresse des Beschwerdeführers in Colombo bekanntgegeben haben soll (vgl. act. A5/13 S. 8 Abs. 4).</w:t>
      </w:r>
    </w:p>
    <w:p>
      <w:r>
        <w:rPr>
          <w:b/>
        </w:rPr>
        <w:t>E. 4.4</w:t>
      </w:r>
    </w:p>
    <w:p>
      <w:r>
        <w:t>Gegen eine gezielte Suche nach dem Beschwerdeführer spricht schliesslich der Umstand, dass dieser laut einer auszugsweise eingereichten Kopie seines persönlichen Reisepasses (vgl. Seite 13; vgl. Beilage 3 des zweiten Asylgesuches vom 5. März 2020) am 12. August 2018 kontrolliert via den Flughafen Colombo in seine Heimat zurückgekehrt ist. Seine Darstellung in der Beschwerde, er sei damals mit Hilfe eines Schleppers in seine Heimat zurückgekehrt und persönlich erschrocken gewesen, nachdem er gemerkt habe, "dass sein eigener Reisepass anscheinend doch für die Einreise verwendet" worden sei (vgl. a.a.O. S. 8 Ziff. 3.5), mutet realitätsfern an und ist folglich als Schutzbehauptung zu werten.</w:t>
      </w:r>
    </w:p>
    <w:p>
      <w:r>
        <w:rPr>
          <w:b/>
        </w:rPr>
        <w:t>E. 4.5</w:t>
      </w:r>
    </w:p>
    <w:p>
      <w:r>
        <w:t>Nach dem Gesagten ist zusammenfassend festzuhalten, dass die Behauptung des Beschwerdeführers, er sei zwischen den Jahren 2013 und 2017 beziehungsweise zwischen August 2018 und Februar 2020 von unbekannten Personen beziehungsweise Angehörigen des TID gesucht worden, nicht glaubhaft ist. Es erübrigt sich in diesem Zusammenhang, auf weitere Ausführungen der Vorinstanz in der angefochtenen Verfügung und diesbezügliche Entgegnungen in der Beschwerde einzugehen, da diese am Ergebnis nichts zu ändern vermögen.</w:t>
      </w:r>
    </w:p>
    <w:p>
      <w:r>
        <w:rPr>
          <w:b/>
        </w:rPr>
        <w:t>E. 4.6.1</w:t>
      </w:r>
    </w:p>
    <w:p>
      <w:r>
        <w:t>Zu prüfen bleibt, ob die Tötung des Vaters im Jahr 2006 durch Unbekannte sowie der Übergriff auf einer der beiden älteren Brüder des Beschwerdeführers im Jahr 2010, welcher zur Ausreise beider Brüder ins Ausland im Jahr 2011 geführt habe, zur Annahme einer begründeten Furcht des Beschwerdeführers vor künftiger Verfolgung zu führen vermag.</w:t>
      </w:r>
    </w:p>
    <w:p>
      <w:r>
        <w:rPr>
          <w:b/>
        </w:rPr>
        <w:t>E. 4.6.2</w:t>
      </w:r>
    </w:p>
    <w:p>
      <w:r>
        <w:t>Wie das SEM in seiner Verfügung vom 16. September 2020 diesbezüglich zu Recht festhält, vermögen die vorstehend angeführten Ereignisse allein schon deshalb keine flüchtlingsrechtliche Relevanz zu entfalten, weil diese im Zeitpunkt der erstmaligen Ausreise des Beschwerdeführers im Jahr 2017 bereits mehr als elf beziehungsweise sieben Jahre zurückgelegen haben, weshalb zwischen diesen Ereignissen und der Ausreise des Beschwerdeführers im Jahr 2017 (respektive 2020) kein hinreichender zeitlicher Zusammenhang besteht. Zur Vermeidung weitergehender Wiederholungen ist vollumfänglich auf die entsprechenden Ausführungen in der angefochtenen Verfügung (vgl. a.a.O. S. 6-8 II/2./a.) zu verweisen.</w:t>
      </w:r>
    </w:p>
    <w:p>
      <w:r>
        <w:rPr>
          <w:b/>
        </w:rPr>
        <w:t>E. 4.7.1</w:t>
      </w:r>
    </w:p>
    <w:p>
      <w:r>
        <w:t>Hinsichtlich der Frage, ob einer asylsuchenden Person im Falle der Rückkehr nach Sri Lanka sonstwie Gefahr drohe, Opfer von ernsthaften Nachteilen in Form von Verhaftung und Folter zu werden, orientiert sich das Bundesverwaltungsgericht an bestimmten Risikofaktoren, welche in einer Gesamtschau zu würdigen sind (vgl. dazu Urteil des BVGer E-1866/2015 vom 15. Juli 2016 E. 8 [als Referenzurteil publiziert]). Als stark risikobegründend werden etwa eine Eintragung in der "Stopp-List" (vgl. ebd. E. 8.5.2), eine Verbindung zu den LTTE (vgl. ebd. E. 8.5.3) und regimekritische Aktivitäten im Ausland (vgl. ebd. E. 8.5.4) angesehen, während das Fehlen ordentlicher Identitätsdokumente, eine zwangsweise Rückführung oder Narben als schwache Faktoren zu berücksichtigen sind (vgl. ebd. E. 8.5.5).</w:t>
      </w:r>
    </w:p>
    <w:p>
      <w:r>
        <w:rPr>
          <w:b/>
        </w:rPr>
        <w:t>E. 4.7.2</w:t>
      </w:r>
    </w:p>
    <w:p>
      <w:r>
        <w:t>In diesem Zusammenhang ist zunächst festzuhalten, dass nicht glaubhaft ist, dass der Beschwerdeführer vor seiner Ausreise aus Sri Lanka (behördlich) gesucht worden ist. Er hat sodann selbst unmissverständlich zum Ausdruck gebracht, er sei in seiner Heimat nie politisch tätig gewesen (vgl. act. B6/18 S. 8 F41). Die Umstände für die Tötung seines Vaters im Jahr 2006 liegen im Dunkeln, weshalb für die Annahme, dessen Tod habe einen politischen Hintergrund gehabt, welcher auch heute noch zu einer Gefährdung des Beschwerdeführers führen könnte, kein Raum bleibt.</w:t>
      </w:r>
    </w:p>
    <w:p>
      <w:r>
        <w:rPr>
          <w:b/>
        </w:rPr>
        <w:t>E. 4.7.3</w:t>
      </w:r>
    </w:p>
    <w:p>
      <w:r>
        <w:t>Es ist auch nicht davon auszugehen, dass der Beschwerdeführer auf einer Stopp-List eingetragen ist. Diesbezüglich ist insbesondere nochmals darauf hinzuweisen, dass er nach dem Nichteintretensentscheid des SEM vom 14. Februar 2018 im Rahmen seines ersten Asylgesuchs in der Schweiz am 12. August 2018 legal und kontrolliert in seine Heimat zurückgekehrt ist (vgl. E. 4.4 hiervor).</w:t>
      </w:r>
    </w:p>
    <w:p>
      <w:r>
        <w:rPr>
          <w:b/>
        </w:rPr>
        <w:t>E. 4.7.4</w:t>
      </w:r>
    </w:p>
    <w:p>
      <w:r>
        <w:t>Die tamilische Ethnie des Beschwerdeführers, die Herkunft aus dem Norden sowie der Umstand, dass er mit temporären Reisedokumenten aus der Schweiz nach Sri Lanka zurückkehren würde, vermögen die Flüchtlingseigenschaft ebenfalls nicht zu begründen.</w:t>
      </w:r>
    </w:p>
    <w:p>
      <w:r>
        <w:rPr>
          <w:b/>
        </w:rPr>
        <w:t>E. 4.7.5</w:t>
      </w:r>
    </w:p>
    <w:p>
      <w:r>
        <w:t>Auch die politischen Ereignisse, welche seit den beiden Ausreisen des Beschwerdeführers (im November 2017 und im Februar 2020) in Sri Lanka eingetreten sind, lassen nicht darauf schliessen, dass sich das Risiko für tamilische Rückkehrer, im Falle einer Rückkehr Menschenrechtsverletzungen zu erleiden, generell verschärft hätte (vgl. hierzu etwa das Urteil des BVGer D-4285/2017 vom 6. Juli 2020 E. 7.8.2).</w:t>
      </w:r>
    </w:p>
    <w:p>
      <w:r>
        <w:rPr>
          <w:b/>
        </w:rPr>
        <w:t>E. 4.8</w:t>
      </w:r>
    </w:p>
    <w:p>
      <w:r>
        <w:t>Zusammenfassend ergibt sich, dass der Beschwerdeführer nichts vorgebracht hat, was geeignet wäre, seine Flüchtlingseigenschaft nachzuweisen oder zumindest glaubhaft zu machen. Das SEM hat demnach seine Flüchtlingseigenschaft zu Recht verneint und das Asylgesuch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Referenzurteil des BVGer E-1866/2015 vom 15. Juli 2016 E. 12.2).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6.4.2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das BVGer E-895/2020 vom 15. April 2020 E. 9.3). Vorliegend sprechen auch keine individuellen Gründe gegen die Zumutbarkeit des Wegweisungsvollzugs. Der Beschwerdeführer stammt aus C._______ (Jaffna-Distrikt) in der Nordprovinz. Nach seiner Rückkehr nach Sri Lanka im August 2018 hat er an verschiedenen Orten, beispielsweise in H._______, N._______ (wohl: O._______ P._______, C._______ Q._______, C._______ [vgl. act. A5/13 S. 4 Ziff. 2.01 in fine]), R._______ sowie in Colombo gelebt (vgl. act. B6/18 S. 5 F32). Er hat somit mehrheitlich beziehungsweise mit ein paar Unterbrüchen in der Nordprovinz gelebt, wohin der Vollzug der Wegweisung grundsätzlich als zumutbar zu erachten ist. Der Beschwerdeführer ist 26 Jahre alt und nach eigenem Bekunden gesund (vgl. act. B6/18 S. 2 F5). Ausserdem verfügt er in seiner Heimat über Verwandte und Freunde, weshalb vom Bestehen eines hinreichenden familiären und sozialen Beziehungsnetzes auszugehen ist (vgl. act. B6/18 S. 3 f.). Ausserdem werden seine Familienangehörigen in Sri Lanka finanziell von seinen beiden in S._______ wohnhaften Brüdern unterstützt (vgl. act. B6/18 S. 4 F18 f.). Im Weiteren verfügt der Beschwerdeführer über eine gute schulische Ausbildung (vgl. act. A5/13 S. 3 Ziff. 1.17.04). Somit ist davon auszugehen, dass er bei einer Rückkehr nach Sri Lanka gute Voraussetzungen mitbringt, um sich in seiner Heimat eine neue Existenz aufzubauen. Der Vollzug der Wegweisung erweist sich demnach nicht als unzumutbar.</w:t>
      </w:r>
    </w:p>
    <w:p>
      <w:r>
        <w:rPr>
          <w:b/>
        </w:rPr>
        <w:t>E. 6.5</w:t>
      </w:r>
    </w:p>
    <w:p>
      <w:r>
        <w:t>Es obliegt dem Beschwerdeführer, sich bei der zuständigen Vertretung des Heimatstaates die für eine Rückkehr notwendigen Reisedokumente zu beschaffen (vgl. Art. 8 Abs. 4 AsylG und dazu auch BVGE 2008/34 E. 12). Dem Vollzug der Wegweisung steht auch die Corona-Pandemie nicht entgegen. Bei dieser handelt es sich - wenn überhaupt - um ein temporäres Vollzugshindernis, welchem im Rahmen der Vollzugsmodalitäten durch die kantonalen Behörden Rechnung zu tragen ist, indem etwa der Zeitpunkt des Vollzugs der Wegweisung der Situation in Sri Lanka angepasst wird (vgl. Entscheidungen und Mitteilungen der Schweizerischen Asylrekurskommission [EMARK] 1995 Nr. 14 E. 8d und e sowie statt vieler Urteil des BVGer D-4796/2019 vom 27. April 2020 E. 8.9). Der Vollzug der Wegweisung ist daher auch als möglich zu bezeichnen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vorliegenden Urteil in der Hauptsache wird das Gesuch um Verzicht auf die Erhebung eines Kostenvorschusses gegenstandslos. Gleichzeitig wären aufgrund des Ausgangs des Verfahrens die Kosten dem Beschwerdeführer aufzuerlegen (Art. 63 Abs. 1 VwVG). Nachdem aufgrund der Aktenlage im vorliegenden Verfahren von der Bedürftigkeit des Beschwerdeführers auszugehen ist und sich die vorliegende Beschwerde nicht als aussichtslos erwiesen hat, ist jedoch das Gesuch um Gewährung der unentgeltlichen Prozessführung gemäss Art. 65 Abs. 1 VwVG gutzuheissen. Folglich sind keine Verfahrenskosten aufzuerlegen. Gleichzeitig ist gestützt auf aArt. 110a Abs. 1 AsylG auch das Gesuch um unentgeltliche Rechtsverbeiständung gutzuheissen und dem Beschwerdeführer Rechtsanwalt Bernhard Jüsi als unentgeltlicher Rechtsbeistand beizuordnen.</w:t>
      </w:r>
    </w:p>
    <w:p>
      <w:r>
        <w:rPr>
          <w:b/>
        </w:rPr>
        <w:t>E. 8.2</w:t>
      </w:r>
    </w:p>
    <w:p>
      <w:r>
        <w:t>Dem amtlichen Rechtsbeistand ist ein angesichts des Verfahrensausgang vom Bundesverwaltungsgericht ein Honorar auszurichten. Dabei ist zu beachten, dass im Asylbereich bei amtlicher Vertretung in der Regel von einem Stundenansatz von Fr. 200.- bis Fr. 220.- für Anwältinnen und Anwälte und Fr. 100.- bis Fr. 150.- für nicht-anwaltliche Vertreterinnen und Vertreter auszugehen (vgl. Art. 12 i.V.m Art. 10 Abs. 2 VGKE) und nur der notwendige Aufwand zu entschädigen ist.</w:t>
      </w:r>
    </w:p>
    <w:p>
      <w:r>
        <w:rPr>
          <w:b/>
        </w:rPr>
        <w:t>E. 8.3</w:t>
      </w:r>
    </w:p>
    <w:p>
      <w:r>
        <w:t>Der Rechtsbeistand reichte mit der Beschwerde eine vom 14. Oktober 2020 datierende Kostennote ein, in welcher der Aufwand für das Beschwerdeverfahren auf 12.65 Stunden beziffert wird und Auslagen in der Höhe von Fr. 61.80 sowie die Mehrwertsteuer von 7.7 Prozent (Fr. 296.95) geltend gemacht werden (total: Fr. 4'153.75). Der geltend gemachte zeitliche Aufwand und die Auslagen sind angemessen. Hingegen ist der geltend gemachte Stundenansatz von Fr. 300. auf Fr. 220. für Anwältinnen und Anwälte zu kürzen. Dem Rechtsbeistand ist demnach vom Bundesverwaltungsgericht ein Honorar in der Höhe von (gerundet) Fr. 3'104.- (inkl. Auslagen und Mehrwertsteuerzuschlag)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