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D-509/2012 vom 29. März 2012</w:t>
      </w:r>
    </w:p>
    <w:p>
      <w:r>
        <w:t>Bundesverwaltungsgericht, 2012-03-29, DE</w:t>
      </w:r>
    </w:p>
    <w:p>
      <w:r>
        <w:rPr>
          <w:b/>
        </w:rPr>
        <w:t xml:space="preserve">Quelle: </w:t>
      </w:r>
      <w:r>
        <w:t>https://mcp.opencaselaw.ch/entscheid/bvger_D-509_2012</w:t>
      </w:r>
    </w:p>
    <w:p>
      <w:r>
        <w:t>FR: TAF D-509/2012 du 29 mars 2012</w:t>
      </w:r>
    </w:p>
    <w:p>
      <w:r>
        <w:t>IT: TAF D-509/2012 del 29 marzo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BVGE 2010/27 E. 2.1; Entscheidungen und Mitteilungen der Schweizerischen Asylrekurskommission [EMARK] 2003 Nr. 17 E. 2.a S. 103 f., mit weiteren Hinweisen).</w:t>
      </w:r>
    </w:p>
    <w:p>
      <w:r>
        <w:rPr>
          <w:b/>
        </w:rPr>
        <w:t>E. 5.1</w:t>
      </w:r>
    </w:p>
    <w:p>
      <w:r>
        <w:t>Die Beschwerdeführenden machen auf Beschwerdeebene geltend, die Behinderung von C._______ habe sich entgegen der vom BFM getroffenen Annahme nicht verbessert. So habe sie vom (...) 2012 im (...) Kinderspital behandelt werden müssen. Es sei zu befürchten, dass eine Behandlung in Serbien nicht durchgeführt werde, weil sie der ethnischen Minderheit der Roma angehörten.</w:t>
      </w:r>
    </w:p>
    <w:p>
      <w:r>
        <w:rPr>
          <w:b/>
        </w:rPr>
        <w:t>E. 5.2</w:t>
      </w:r>
    </w:p>
    <w:p>
      <w:r>
        <w:t>Im ärztlichen Bericht von Dr. med. F. vom 7. März 2012 wird festgehalten, die bald (...)jährige C._______ leide an bekannter (...). Seit der Diagnosestellung am (...) 2012 werde die Patientin mit Nexium 10mg Granulat einmal täglich behandelt. Die Eltern seien aufgefordert worden, ein Ess-Brech-Protokoll zu führen. Gemäss bisherigen Angaben hätten die Beschwerden der Patientin unter dieser Therapie etwas abgenommen. Es komme jedoch weiterhin zu gelegentlichem Erbrechen und gemäss Angaben der Eltern zeige sich noch immer kein angemessenes Essverhalten. Sicherlich seien weitere Kontrolluntersuchungen und Beobachtungen des weiteren Verlaufs mit Gewichtskontrolle indiziert. Obwohl aktuell keine grösseren Interventionen geplant seien, könnten diese im Verlauf aufgrund der persistierenden Beschwerden nicht ausgeschlossen werden. Diesem ärztlichen Bericht lag eine schriftliche Information des (...) Kinderspitals ([...]) über die gastroenterologische Untersuchung vom 24. Februar 2012 bei. Unter dem Titel "Zwischenanamnese" wird festgehalten, dass C._______ vom (...) 2012 am (...) wegen rezidivierendem Erbrechen hospitalisiert gewesen sei. Bei einer Diagnose einer (...) und konsekutivem gastrooesophagealen Reflux sei eine Therapie mit Nexium Granulat begonnen worden, was die Situation deutlich entschärft habe. C._______ habe nur noch 6 mal pro Monat erbrochen (vorher mehrmals pro Tag). Ebenfalls habe sich die Nahrungsaufnahme verändert, die Einnahme sei regelmässiger und vielfältiger geworden, allerdings in relativ kleinen Mengen. Verbessert habe sich auch das Schlafmuster, C._______ schlafe jetzt durch. Unter dem Titel "Beurteilung und Procedere" wird festgestellt, die Hauptproblematik von C._______ entspreche einem gastrooesophagealen Reflux, welcher aufgrund einer (...) zustande gekommen sei. Glücklicherweise habe sie auf das Nexium sehr gut reagiert und deutlich weniger erbrochen. Das Medikament sei sicher noch 6 Wochen beizubehalten. Von der Ernährungsanamnese her gesehen esse sie immer noch recht wenig und sehr selektiv, allerdings scheine seit der Gabe von Nexium eine Besserung aufgetreten zu sein. Die Situation sei weiterhin zu beobachten. Von Seiten des Gewichts und der Länge bestehe keine Drucksituation</w:t>
      </w:r>
    </w:p>
    <w:p>
      <w:r>
        <w:rPr>
          <w:b/>
        </w:rPr>
        <w:t>E. 5.3</w:t>
      </w:r>
    </w:p>
    <w:p>
      <w:r>
        <w:t>Die Beschwerdeführenden machten im Wiedererwägungsverfahren sinngemäss geltend, der Wegweisungsvollzug sei angesichts des Gesundheitszustandes von C._______ unzumutbar. Gegenstand des Wiedererwägungsverfahrens bildete somit allein die Frage der Zumutbarkeit des Wegweisungsvollzuges, zumal auf Beschwerdeebene auch keine weitergehenden Begehren und Einwände erfolgten. Im Folgenden ist daher nur zu prüfen, ob die Vorinstanz zu Recht an der Zumutbarkeit des Wegweisungsvollzuges festgehalten hat.</w:t>
      </w:r>
    </w:p>
    <w:p>
      <w:r>
        <w:rPr>
          <w:b/>
        </w:rPr>
        <w:t>E. 6</w:t>
      </w:r>
    </w:p>
    <w:p>
      <w:r>
        <w:t>Das Bundesverwaltungsgericht kommt unter Berücksichtigung sämtlicher eingereichten ärztlichen Berichte mit dem Bundesamt zum Schluss, dass die gesundheitliche Situation von C._______ kein Anlass bietet, die Rechtskraft der Verfügung vom 10. Februar 2009 zu beseitigen. Bei gesundheitlichen Beeinträchtigungen kann nur dann auf eine medizinische Notlage und damit auf die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 In Bezug auf den diagnostizierten (...) hat das Bundesamt zutreffend darauf hingewiesen, dass die diesbezügliche Physiotherapie am 4. November 2011 abgeschlossen wurde. Weitere Ausführungen dazu erübrigen sich demzufolge, zumal die neusten ärztlichen Berichte diesbezüglich auch keine Bemerkungen enthalten. Aus den erwähnten ärztlichen Berichten ergibt sich jedoch, dass C._______ medikamentös behandelt wird, wobei diese Behandlung - gerechnet wohl ab Kontrolluntersuchung am (...) 2012 - noch rund sechs Wochen andauern wird. Die Notwendigkeit einer weiteren oder anderen Behandlung ergibt sich aufgrund der Akten nicht. Damit ist offensichtlich, dass die Voraussetzungen für die Annahme einer medizinischen Notlage im vorerwähnten Sinn im vorliegenden Fall nicht gegeben sind. Selbst wenn davon auszugehen wäre, das fragliche Medikament wäre noch länger als die erwähnten 6 Wochen erforderlich, jedoch in Serbien nicht erhältlich, liesse sich die weitere Behandlungsdauer zweifellos mittels Inanspruchnahme medizinischer Rückkehrhilfe (vgl. Art. 93 Abs. 1 Bst. d AsylG, Art. 75 der Asylverordnung 2 vom 11. August 1999 [AsylV 2, SR 142.312]) überbrücken. Als zusätzliche medizinische Hilfeleistung steht es den Beschwerdeführenden zudem frei, hinsichtlich allfällig notwendiger Kontrolluntersuchungen und Beobachtungen des weiteren Verlaufs Hilfestellung bei der Organisation einer medizinischen Behandlung nach der Rückkehr nach Serbien zu beantragen. Der Vollständigkeit halber bleibt anzumerken, dass das Bundesamt dem offenbar bereits vereinbarten Kontrolltermin im (...) Kinderspital (6 Wochen ab [...] 2012) bei der Ansetzung einer neuen Ausreisefrist Rechnung tragen kann.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Der am 2. Februar 2012 verfügte Vollzugsstopp wird mit vorliegendem Entscheid in der Hauptsache hinfällig.</w:t>
      </w:r>
    </w:p>
    <w:p>
      <w:r>
        <w:rPr>
          <w:b/>
        </w:rPr>
        <w:t>E. 9</w:t>
      </w:r>
    </w:p>
    <w:p>
      <w:r>
        <w:t>Bei diesem Ausgang des Verfahrens sind die Kosten den Beschwerdeführenden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