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D-5098/2025 vom 29. April 2026</w:t>
      </w:r>
    </w:p>
    <w:p>
      <w:r>
        <w:t>Bundesverwaltungsgericht, 2026-04-29, DE</w:t>
      </w:r>
    </w:p>
    <w:p>
      <w:r>
        <w:rPr>
          <w:b/>
        </w:rPr>
        <w:t xml:space="preserve">Quelle: </w:t>
      </w:r>
      <w:r>
        <w:t>https://mcp.opencaselaw.ch/entscheid/bvger_D-5098_2025</w:t>
      </w:r>
    </w:p>
    <w:p>
      <w:r>
        <w:t>FR: TAF D-5098/2025 du 29 avril 2026</w:t>
      </w:r>
    </w:p>
    <w:p>
      <w:r>
        <w:t>IT: TAF D-5098/2025 del 29 aprile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Der Beschwerdeführer ist als Verfügungsadressat zur Beschwerdeführung legitimiert (Art. 48 Abs. 1 VwVG). Die Beschwerde ist frist- und formgerecht eingereicht worden (Art. 72 i.V.m. Art. 108 Abs. 6 AsylG;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nach Klärung der strittigen Rechtsfragen im Rahmen eines Koordinationsentscheids (vgl. Urteil des Bundesverwaltungsgerichts D-4601/2025 vom 9. Februar 2025) um ein solches Rechtsmittel, weshalb das Urteil nur summarisch zu begründen ist (Art. 111a Abs. 2 AsylG).</w:t>
      </w:r>
    </w:p>
    <w:p>
      <w:r>
        <w:rPr>
          <w:b/>
        </w:rPr>
        <w:t>E. 4.1</w:t>
      </w:r>
    </w:p>
    <w:p>
      <w:r>
        <w:t>Das streitige Verwaltungsverfahren und die Verwaltungsgerichtsbarkeit werden vorwiegend vom Dispositionsprinzip beherrscht. Als Folge wird der Streitgegenstand im Rechtsmittelverfahren allein durch die Parteien bestimmt. Spiegelbildlich gebietet die Dispositionsmaxime, dass die Verwaltungsjustizbehörden nicht mehr und nichts anderes zusprechen, als die beschwerdeführende Partei in ihrem Rechtsbegehren verlangt, und zugleich nicht weniger, als die massgebende Partei anerkannt hat (vgl. Urteil des BVGer E-7781/2024 vom 4. März 2025 E. 3.1 m.w.H.).</w:t>
      </w:r>
    </w:p>
    <w:p>
      <w:r>
        <w:rPr>
          <w:b/>
        </w:rPr>
        <w:t>E. 4.2</w:t>
      </w:r>
    </w:p>
    <w:p>
      <w:r>
        <w:t>Die prozesserfahrene Rechtsvertretung des Beschwerdeführers stellt und begründet ausschliesslich ein kassatorisches Rechtsbegehren, namentlich die Rückweisung der Sache an die Vorinstanz «zwecks vollständiger Abklärung des Sachverhalts» (Beschwerde, S. 2). Der Streitgegenstand des vorliegenden Rechtsmittelverfahrens ist demnach auf die Prüfung der formellen Frage beschränkt, ob die angefochtene Verfügung aufzuheben und an die Vorinstanz mit allfälligen Anweisungen zurückzuweisen ist. Dies unter dem Vorbehalt von augenscheinlich in den Akten liegenden Anhaltspunkten auf flüchtlings- und völkerrechtliche Wegweisungsvollzugshindernisse, die den materiellen Erwägungen des angefochtenen Entscheids entgegenstehen würden.</w:t>
      </w:r>
    </w:p>
    <w:p>
      <w:r>
        <w:rPr>
          <w:b/>
        </w:rPr>
        <w:t>E. 5.1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Entscheid rechtswesentlichen Sachumstände berücksichtigt werden (vgl. Kölz/Häner/Bertschi/Bundi, Verwaltungsverfahren und Verwaltungsrechtspflege des Bundes, 4. Aufl. 2025, Rz. 1043).</w:t>
      </w:r>
    </w:p>
    <w:p>
      <w:r>
        <w:rPr>
          <w:b/>
        </w:rPr>
        <w:t>E. 5.2</w:t>
      </w:r>
    </w:p>
    <w:p>
      <w:r>
        <w:t>Gemäss Art. 29 Abs. 2 BV in Verbindung mit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dagegen ist, dass sich die Begründung mit allen Parteistandpunkten einlässlich auseinandersetzt und jedes einzelne Vorbringen ausdrücklich widerlegt (vgl. BGE 143 III 65 E. 5.2).</w:t>
      </w:r>
    </w:p>
    <w:p>
      <w:r>
        <w:rPr>
          <w:b/>
        </w:rPr>
        <w:t>E. 6.1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erliess der Bundesrat gestützt auf Art. 66 Abs. 1 AsylG eine Allgemeinverfügung zur Gewährung des vorübergehenden Schutzes im Zusammenhang mit der Situation in der Ukraine (BBI 2022 586. Dieser Erlass wurde durch eine neue Allgemeinverfügung vom 8. Oktober 2025 (BBl 2025 3074; in Kraft seit 1. November 2025) aufgehoben respektive abgelöst. Er ist aufgrund der Übergangsbestimmungen für das vorliegende Verfahren jedoch weiterhin anwendbar, zumal das vorinstanzliche Verfahren am 27. Juni 2025 abgeschlossen wurde, im Zeitpunkt des Inkrafttretens der neuen Allgemeinverfügung mithin nicht mehr bei der Vorinstanz hängig war (Ziff. III Abs. 3 e contrario Allgemeinverfügung vom 8. Oktober 2025).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6.3</w:t>
      </w:r>
    </w:p>
    <w:p>
      <w:r>
        <w:t>Das Bundesverwaltungsgericht stellte bereits in seinem Grundsatzurteil BVGE 2022 VI/1 im Sinne einer Einschränkung fest,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EU-EFTA-Mitgliedsstaat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wirksamer Schutz gewährt wird, und es muss überdies davon ausgegangen werden können, dass sie ohne weiteres wieder in den fraglichen Drittstaat einreisen kann. Sind diese Voraussetzungen erfüllt, ist - selbst wenn keine Rückübernahmezusicherung des in Frage stehenden Drittstaates vorliegt - das Vorliegen einer valablen Schutzalternative zu bejahen (vgl. a.a.O. E. 6.2.1 sowie 6.3).</w:t>
      </w:r>
    </w:p>
    <w:p>
      <w:r>
        <w:rPr>
          <w:b/>
        </w:rPr>
        <w:t>E. 6.4</w:t>
      </w:r>
    </w:p>
    <w:p>
      <w:r>
        <w:t>Dem Beschwerdeführer, der am 24. Februar 2022 in der Ukraine in der Region (...) wohnhaft war, ist nach seiner Einreise in Rumänien im Mai 2025 Schutz für Geflüchtete aus der Ukraine gemäss den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gewährt worden. Selbst wenn dieser Status aufgrund des geltend gemachten Verzichts darauf mittlerweile erloschen sein sollte, ist davon auszugehen, dass der Beschwerdeführer diesen bei einer Rückkehr nach Rumänien reaktivieren respektive erneut erfolgreich um Schutz ersuchen kann, zumal Rumänien aufgrund der (bis 4. März 2027 verlängerten) EU-Regelung (Durchführungsbeschluss [EU] 2025/1460 des Rates vom 15. Juli 2025 zur Verlängerung des mit dem Durchführungsbeschluss [EU] 2022/382 eingeführten vorübergehenden Schutzes) verpflichtet ist, Ukrainerinnen und Ukrainern weiterhin vorübergehend Schutz zu gewähren. Das SEM ist gemäss koordinierter Praxis demnach nicht verpflichtet, von den rumänischen Behörden eine Rückübernahmezusicherung einzuholen, da sich Inhaberinnen und Inhaber eines gültigen ukrainischen Reisepasses visumsfrei im Schengenraum bewegen können, womit auch von der legalen Einreisemöglichkeit nach Rumänien auszugehen ist (vgl. Urteil des BVGer D-4601/2025 vom 9. Februar 2026 E. 6.3). Der Sachverhalt erweist sich damit - entgegen der Beschwerdeschrift - als genügend erstellt und die angefochtene Verfügung als rechtsgenüglich begründet.</w:t>
      </w:r>
    </w:p>
    <w:p>
      <w:r>
        <w:rPr>
          <w:b/>
        </w:rPr>
        <w:t>E. 6.5</w:t>
      </w:r>
    </w:p>
    <w:p>
      <w:r>
        <w:t>Bei dieser Sachlage ist die angefochtene Verfügung in formeller Hinsicht nicht zu beanstanden. Das Rückweisungsbegehren ist entsprechend unbegründet, weshalb keine Veranlassung besteht, die angefochtene Verfügung aus formellen Gründen aufzuheben und die Sache an die Vorinstanz zurückzuweisen.</w:t>
      </w:r>
    </w:p>
    <w:p>
      <w:r>
        <w:rPr>
          <w:b/>
        </w:rPr>
        <w:t>E. 6.6</w:t>
      </w:r>
    </w:p>
    <w:p>
      <w:r>
        <w:t>Mangels reformatorischer Rechtsbegehren ist die materielle Richtigkeit der angefochtenen Verfügung grundsätzlich nicht Prüfungsgegenstand (vgl. E. 4.2 hiervor). Auch aus den Akten ergeben sich keine offenkundigen Anhaltspunkte, die den materiellen Erwägungen in der angefochtenen Verfügung bezüglich Ablehnung des Gesuchs um Gewährung des vorübergehenden Schutzes und der Anordnung der Wegweisung sowie des Wegweisungsvollzuges - insbesondere mangels landes- und völkerrechtlicher Vollzugshindernisse - entgegenstehen würden.</w:t>
      </w:r>
    </w:p>
    <w:p>
      <w:r>
        <w:rPr>
          <w:b/>
        </w:rPr>
        <w:t>E. 6.7</w:t>
      </w:r>
    </w:p>
    <w:p>
      <w:r>
        <w:t>Nach dem Gesagten ist die Beschwerde abzuweisen.</w:t>
      </w:r>
    </w:p>
    <w:p>
      <w:r>
        <w:rPr>
          <w:b/>
        </w:rPr>
        <w:t>E. 7.1</w:t>
      </w:r>
    </w:p>
    <w:p>
      <w:r>
        <w:t>Bei diesem Ausgang des Verfahrens wären dessen Kosten grundsätzlich dem Beschwerdeführer aufzuerlegen (Art. 63 Abs. 1 VwVG). Die Beschwerde war jedoch im Zeitpunkt der Einreichung nicht als aussichtslos zu bezeichnen, da gewisse sich hier stellende Rechtsfragen erst mit dem Koordinationsurteil des Bundesverwaltungsgerichts D-4601/2025 vom 9. Februar 2026 geklärt worden sind. Da ferner die Bedürftigkeit des Beschwerdeführers belegt ist (vgl. Beschwerdebeilage 4), ist das Gesuch um Gewährung der unentgeltlichen Prozessführung gutzuheissen.</w:t>
      </w:r>
    </w:p>
    <w:p>
      <w:r>
        <w:rPr>
          <w:b/>
        </w:rPr>
        <w:t>E. 8.1</w:t>
      </w:r>
    </w:p>
    <w:p>
      <w:r>
        <w:t>In Verfahren wie dem vorliegenden wird auf Antrag der schutzsuchenden Person, die von der Bezahlung der Verfahrenskosten befreit wurde, grundsätzlich ein amtlicher Rechtsbeistand bestellt (Art. 72 i.V.m. Art. 102m Abs. 1 Bst. d AsylG). Somit ist auch das Gesuch um Beiordnung einer amtlichen Rechtsverbeiständung gutzuheissen und die Rechtsvertretung antragsgemäss als solche einzusetzen.</w:t>
      </w:r>
    </w:p>
    <w:p>
      <w:r>
        <w:rPr>
          <w:b/>
        </w:rPr>
        <w:t>E. 8.2</w:t>
      </w:r>
    </w:p>
    <w:p>
      <w:r>
        <w:t>Der Rechtsvertretung ist für ihre Aufwendungen im Beschwerde-verfahren ein Honorar zu Lasten der Gerichtskasse auszurichten (vgl. für die Grundsätze der Bemessung der Entschädigung Art. 8 ff. des Reglements vom 21. Februar 2008 über die Kosten und Entschädigungen vor dem Bundesverwaltungsgericht [VGKE, SR 173.320.2]). Bei amtlicher Vertretung geht das Gericht in der Regel von einem Stundenansatz von Fr. 100. bis Fr. 150.- für nicht-anwaltliche Vertreterinnen und Vertreter aus (vgl. Art. 12 i.V.m. Art. 10 Abs. 2 VGKE), wobei nur der notwendige Aufwand zu entschädigen ist (vgl. Art. 8 Abs. 2 VGKE). Der Beschwerde lag eine Honorarnote bei (vgl. Beschwerdebeilage 5). Der darin ausgewiesene Aufwand ist unter Berücksichtigung der in Betracht zu ziehenden Bemessungsfaktoren (Art. 9-13 VGKE) und der vorstehend genannten Stundenansätze als angemessen zu beurteilen. Das Honorar ist entsprechend auf insgesamt Fr. 869.50 (inkl. aller Auslagen) festzulegen.</w:t>
      </w:r>
    </w:p>
    <w:p>
      <w:r>
        <w:rPr>
          <w:b/>
        </w:rPr>
        <w:t>E. 8.3</w:t>
      </w:r>
    </w:p>
    <w:p>
      <w:r>
        <w:t>Das Gesuch um Verzicht auf die Erhebung eines Kostenvorschusses wird mit vorliegendem Urteil in der 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