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D-5096/2019 vom 17. Oktober 2019</w:t>
      </w:r>
    </w:p>
    <w:p>
      <w:r>
        <w:t>Bundesverwaltungsgericht, 2019-10-17, DE</w:t>
      </w:r>
    </w:p>
    <w:p>
      <w:r>
        <w:rPr>
          <w:b/>
        </w:rPr>
        <w:t xml:space="preserve">Quelle: </w:t>
      </w:r>
      <w:r>
        <w:t>https://mcp.opencaselaw.ch/entscheid/bvger_D-5096_2019</w:t>
      </w:r>
    </w:p>
    <w:p>
      <w:r>
        <w:t>FR: TAF D-5096/2019 du 17 octobre 2019</w:t>
      </w:r>
    </w:p>
    <w:p>
      <w:r>
        <w:t>IT: TAF D-5096/2019 del 17 ottobre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versucht mit der Nachreichung von Beweismitteln die im vorangegangenen Beschwerdeverfahren vorgebrachte Minderjährigkeit zu belegen und macht damit die ursprüngliche Fehlerhaftigkeit des Beschwerdeentscheids D-3243/2019 vom 2. Juli 2019 geltend.</w:t>
      </w:r>
    </w:p>
    <w:p>
      <w:r>
        <w:rPr>
          <w:b/>
        </w:rPr>
        <w:t>E. 1.4</w:t>
      </w:r>
    </w:p>
    <w:p>
      <w:r>
        <w:t>Der Gesuchsteller ist durch das betreffende Beschwerdeurteil vom 2. Juli 2019 besonders berührt und hat ein schutzwürdiges Interesse an dessen Aufhebung oder Änderung. Er ist daher zur Einreichung des Revisionsgesuchs legitimiert (Art. 48 Abs. 1 Bst. c VwVG in analogiam).</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mit der Nachreichung von Beweismitteln implizit den gesetzlichen Revisionsgrund von Art. 123 Abs. 2 Bst. a BGG an. Das Revisionsgesuch vom 1. Oktober 2019 ist damit hinreichend begründet.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3.1.1</w:t>
      </w:r>
    </w:p>
    <w:p>
      <w:r>
        <w:t>Art. 123 Abs. 2 Bst. a BGG verlangt, dass die gesuchstellende Partei das fragliche Beweismittel während des vorangegangenen Verfahrens, das heisst bis zur Urteilsfällung, nicht gekannt hat respektive nicht in dessen Besitz war und deshalb nicht vorlegen konnte. Ausgeschlossen sind damit Umstände, welche die gesuchstellende Partei bei pflichtgemässer Sorgfalt hätte kennen können, ebenso, wenn die Entdeckung der erheblichen Tatsachen oder das Auffinden von Beweismitteln auf Nachforschungen beruht, die bereits im früheren Verfahren hätten angestellt werden können, denn darin ist eine unsorgfältige Prozessführung der gesuchstellenden Partei zu erblicken (vgl. zum Ganzen Moser/Beusch/Kneubühler, a.a.O.,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wiedergutzumachen (vgl. Elisabeth Escher, a.a.O.,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3.1.2</w:t>
      </w:r>
    </w:p>
    <w:p>
      <w:r>
        <w:t>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3.2</w:t>
      </w:r>
    </w:p>
    <w:p>
      <w:r>
        <w:t>Vorliegend ist somit zu prüfen, ob der Gesuchsteller nach Erlass des Beschwerdeurteils vom 2. Juli 2019 erhebliche Beweismittel aufgefunden hat, die vor dem Entscheid entstanden sind, er aber im vorangegangenen Verfahren nicht hatte beibringen können. Weiter ist zu prüfen, ob die neuen Vorbringen und Dokumente bei zumutbarer Sorgfalt bereits im früheren Verfahren hätten geltend gemacht respektive beigebracht werden können, und ob sie für die Tatbestandsermittlung entscheidend sind, das heisst, ob sie geeignet sind, die tatbeständliche Grundlage des Beschwerdeurteils vom 2. Juli 2019 zu ändern und zu einem anderen Ergebnis zu führen.</w:t>
      </w:r>
    </w:p>
    <w:p>
      <w:r>
        <w:rPr>
          <w:b/>
        </w:rPr>
        <w:t>E. 3.2.1</w:t>
      </w:r>
    </w:p>
    <w:p>
      <w:r>
        <w:t>Im vorangegangenen Beschwerdeverfahren wurde die Glaubhaftigkeit der vom Gesuchsteller geltend gemachten Minderjährigkeit nach Abwägung sämtlicher Anhaltspunkte zu dessen Alter (Aussagen des Gesuchstellers, damals vorliegende Beweismittel [insbesondere Kopie der Tazkira]) verneint. Die nun in diesem Zusammenhang auf Revisionsebene eingereichten Dokumente (weitere Kopie der Tazkira und englische Übersetzung, unter Verweis auf erfolgte Sicherstellung der Originale durch die EZV) vermögen an dieser Einschätzung nichts zu ändern. Die Tazkira war bereits Gegenstand des Beschwerdeverfahrens. Im Beschwerdeurteil vom 2. Juli 2019 wurde festgehalten, dass Tazkira nicht als fälschungssicher gelten und ihnen deshalb gemäss geltender Rechtsprechung nur ein verminderter Beweiswert zukomme (vgl. BVGE 2013/30 E. 4.2.2), und im Rahmen einer antizipierten Beweiswürdigung festgestellt, dass auch dem Original der Tazkira kein erhöhter Beweiswert zukommen würde respektive auch dieses die behauptete Minderjährigkeit des Gesuchstellers nicht zu belegen vermöge. Vor diesem Hintergrund fehlt es der nun mit Übersetzung eingereichten Tazkira grundsätzlich an der revisionsrechtlichen Neuheit. Die auf Revisionsebene erhobene Rüge, im Beschwerdeverfahren sei eine genauere Betrachtung der Tazkira ausgeblieben, läuft auf eine appellatorische Kritik am Beschwerdeurteil vom 2. Juli 2019 beziehungsweise auf eine Beanstandung der rechtlichen Würdigung des Sachverhalts hinaus, wofür im Rahmen eines Revisionsverfahrens indes kein Raum besteht. Im ordentlichen Beschwerdeverfahren wurde, wie gesagt, bereits festgestellt, dass ein Dokument wie die vorliegende Tazkira aufgrund der Fälschungsanfälligkeit und des Umstands, dass Tazkira ohne Weiteres auch käuflich erworben werden können, nur eine geringe Beweiskraft zu entfalten vermag. Für die Echtheit des vorliegenden Dokuments besteht denn auch keine Gewähr, zumal weder ersichtlich ist, wie es zu dessen Ausstellung in Afghanistan am (...) 2019 - in Abwesenheit des Gesuchstellers - noch zur Übermittlung desselben an den Gesuchsteller (Postaufgabe in D._______ am 20. Juli 2019) gekommen ist, hat der Gesuchsteller doch laut seinen Angaben bei der Befragung vom 27. Mai 2019 keinerlei Kontakt zu seinen Angehörigen im Heimatland. Im Übrigen ist auch die exakte Angabe des Geburtsdatums bei einer Tazkira ungewöhnlich (vgl. bspw. Urteile des BVGer E-1942/2019 vom 3. Juni 2019 E. 5.4, E-1454/2018 vom 9. Mai 2018 E. 7.4). Dass der Gesuchsteller minderjährig ist, vermag er mit diesem Dokument nicht zu belegen. Die Tazkira ist damit nicht als beweistauglich und somit auch nicht als erheblich im Sinne von Art. 123 Abs. 2 Bst. a BGG zu erachten. Mangels revisionsrechtlicher Erheblichkeit im Sinne von Art. 123 Abs. 2 Bst. a BGG vermag dieses Beweismittel somit auch kein Hindernis für die Wegweisung des Gesuchstellers nach B._______ zu begründen. Der Vollständigkeit halber ist festzuhalten, dass der Gesuchsteller auch mit seinen Vorbringen im Revisionsgesuch vom 1. Oktober 2019 zum Schulbesuch in C._______ die Glaubhaftigkeit der im vorangegangen Beschwerdeverfahren als unglaubhaft qualifizierten Minderjährigkeit nicht zu bewirken vermag.</w:t>
      </w:r>
    </w:p>
    <w:p>
      <w:r>
        <w:rPr>
          <w:b/>
        </w:rPr>
        <w:t>E. 3.2.2</w:t>
      </w:r>
    </w:p>
    <w:p>
      <w:r>
        <w:t>Mit dem Vorbringen im Revisionsgesuch vom 1. Oktober 2019, er riskiere bei einer Überstellung nach B._______, Opfer einer Kettenabschiebung nach Afghanistan zu werden, vermag der Gesuchsteller keinen Revisionsgrund darzulegen. Im Beschwerdeurteil vom 2. Juli 2019 wurde festgestellt, dass kein Anlass zur Annahme besteht, B._______ würde im Fall des Gesuchstellers den Grundsatz des Non-Refoulement missachten und ihn zur Ausreise in ein Land zwingen, in dem sein Leib, sein Leben oder seine Freiheit aus einem Grund nach Art. 3 Abs. 1 AsylG gefährdet sei oder in dem er Gefahr laufen würde, zur Ausreise in ein solches Land gezwungen zu werden (vgl. S. 7 des Beschwerdeurteils). Die nun auf Revisionsebene erhobene Rüge, wonach die Gefahr einer Verletzung des Non-Refoulement-Prinzips zu Unrecht verneint worden sei, läuft damit (ebenfalls) auf eine appellatorische Kritik am Beschwerdeurteil vom 2. Juli 2019 beziehungsweise auf eine Beanstandung der rechtlichen Würdigung des Sachverhalts hinaus. Dafür besteht im Rahmen eines Revisionsverfahrens kein Raum. Eine andere Sachverhalts- oder Beweiswürdigung ist einem Revisionsverfahren, das an enge formelle Voraussetzungen gebunden ist, nicht zugänglich, da die Revision kein ordentliches Rechtsmittel darstellt.</w:t>
      </w:r>
    </w:p>
    <w:p>
      <w:r>
        <w:rPr>
          <w:b/>
        </w:rPr>
        <w:t>E. 4</w:t>
      </w:r>
    </w:p>
    <w:p>
      <w:r>
        <w:t>Dem Gesuchsteller ist es damit nicht gelungen, Gründe darzulegen respektive relevante Beweismittel vorzulegen, die eine Revision des Beschwerdeurteils D-3243/2019 vom 2. Juli 2019 rechtfertigen würden. Das Revisionsgesuch vom 1. Oktober 2019 ist demzufolge abzuweisen.</w:t>
      </w:r>
    </w:p>
    <w:p>
      <w:r>
        <w:rPr>
          <w:b/>
        </w:rPr>
        <w:t>E. 5</w:t>
      </w:r>
    </w:p>
    <w:p>
      <w:r>
        <w:t>Mit dem vorliegenden Entscheid ist das Revisionsverfahren abgeschlossen, womit die Anträge um Befreiung von der Kostenvorschusspflicht und um Gewährung der aufschiebenden Wirkung des Revisionsgesuchs gegenstandslos geworden sind. Der am 2. Oktober 2019 angeordnete einstweilige Vollzugsstopp fällt mit dem vorliegenden Entscheid dahin.</w:t>
      </w:r>
    </w:p>
    <w:p>
      <w:r>
        <w:rPr>
          <w:b/>
        </w:rPr>
        <w:t>E. 6.1</w:t>
      </w:r>
    </w:p>
    <w:p>
      <w:r>
        <w:t>Das Gesuch um Gewährung der unentgeltlichen Rechtspflege im Sinne von Art. 65 Abs. 1 und 2 VwVG ist abzuweisen, da die Begehren, wie sich aus den vorstehenden Erwägungen ergibt, als aussichtslos zu bezeichnen waren, womit eine der kumulativ zu erfüllenden Voraussetzungen von Art. 65 Abs. 1 und 2 VwVG nicht gegeben ist.</w:t>
      </w:r>
    </w:p>
    <w:p>
      <w:r>
        <w:rPr>
          <w:b/>
        </w:rPr>
        <w:t>E. 6.2</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