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D-5096/2009 vom 11. September 2012</w:t>
      </w:r>
    </w:p>
    <w:p>
      <w:r>
        <w:t>Bundesverwaltungsgericht, 2012-09-11, DE</w:t>
      </w:r>
    </w:p>
    <w:p>
      <w:r>
        <w:rPr>
          <w:b/>
        </w:rPr>
        <w:t xml:space="preserve">Quelle: </w:t>
      </w:r>
      <w:r>
        <w:t>https://mcp.opencaselaw.ch/entscheid/bvger_D-5096_2009</w:t>
      </w:r>
    </w:p>
    <w:p>
      <w:r>
        <w:t>FR: TAF D-5096/2009 du 11 septembre 2012</w:t>
      </w:r>
    </w:p>
    <w:p>
      <w:r>
        <w:t>IT: TAF D-5096/2009 del 11 settembre 2012</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Sinne der vorinstanzlichen Erwägungen mag zutreffen, dass die An­gehörigen der Beschwerdeführerin und möglicherweise auch der Cou­sin, welchem allenfalls die Ehe mit ihr versprochen worden sein soll, über ihre Heirat mit einer Internet-Bekanntschaft wenig erbaut waren.</w:t>
      </w:r>
    </w:p>
    <w:p>
      <w:r>
        <w:rPr>
          <w:b/>
        </w:rPr>
        <w:t>E. 4.2</w:t>
      </w:r>
    </w:p>
    <w:p>
      <w:r>
        <w:t>Die von der Beschwerdeführerin geltend gemachte Verfolgung ginge bei angenommener Glaubhaftigkeit offensichtlich nicht von einer staatli­chen oder quasi-staatlichen Behörde aus, sondern von Privatpersonen, näm­lich insbesondere von den (männlichen) Familienangehörigen. Derar­tige, von Dritten ausgehende Verfolgungshandlungen können dann flücht­lingsrechtlich relevant sein, wenn im Heimatstaat kein Schutz vor nichtstaat­licher Verfolgung erhältlich ist.</w:t>
      </w:r>
    </w:p>
    <w:p>
      <w:r>
        <w:rPr>
          <w:b/>
        </w:rPr>
        <w:t>E. 4.3</w:t>
      </w:r>
    </w:p>
    <w:p>
      <w:r>
        <w:t>Die Beschwerdeführerin stammt aus C._______ aus dem kurdisch kontrollier­ten Nordirak. Das Bundesverwaltungsgericht beurteilte die Schutzfähigkeit und Schutzwilligkeit der kurdisch-irakischen Behörden wie folgt: Gestützt auf die im Grundsatzurteil vom 22. Januar 2008 i.S. K. (vgl. Entscheide des Schweizerischen Bundesverwaltungsgerichts [BVGE] 2008/4) vorgenommene Lageanalyse können die nordirakischen Si­cherheitsbehörden als grundsätzlich schutzfähig bezeichnet werden. Sie sind grundsätzlich in der Lage, Hinweisen auf Übergriffe nachzuge­hen und nötigenfalls eine Strafverfolgung einzuleiten. Die Sicherheits- und Polizeikräfte sind gut dotiert und gelten als gut und straff organisiert. Streitigkeiten können im Regelfall gerichtlich beigelegt werden. Trotz weiter­hin bestehenden, zahlreichen Unzulänglichkeiten kann somit bezüg­lich der drei kurdischen Nordprovinzen (Dohuk, Erbil und Suleyma­niya) von einer funktionierenden Schutzinfrastruktur gesprochen werden (a.a.O. E. 6.4 und 6.5 S. 44 ff.). Die Schutzwilligkeit der kurdischen Sicherheitskräfte ist der erwähnten Lageanalyse zufolge grundsätzlich ebenfalls gegeben. Von diesem Grundsatz gibt es allerdings zahlreiche Ausnahmen, in denen verfolgte Personen nicht mit einer staatlichen Schutzgewährung durch die Polizei- und Sicherheitskräfte rechnen kön­nen. Keinen derartigen Schutz können beispielsweise jene Personen erwar­ten, welche Übergriffe durch die Mehrheitsparteien, deren Organe oder Mitglieder geltend machen, da die Partei- und Behördenstrukturen zu eng miteinander verflochten und teilweise sogar identisch sind. Das­selbe gilt offensichtlich, wenn eine allfällige Gefährdung unmittelbar von den staatlichen Behörden ausgeht. Im Bereich der Verfolgung von Frauen durch Familien- oder Clanangehörige - zu denken ist dabei vor allem an Eh­renmorde und Zwangsheirat - sind bezüglich der Schutzwilligkeit der staatlichen Behörden ebenfalls Vorbehalte anzubringen (a.a.O. E. 6.6.8 S. 51, mit weiteren Hinweisen). Ob an dieser Einschätzung auch im heutigen Zeitpunkt grund­sätzlich festzuhalten ist, kann vorliegend jedoch offen bleiben.</w:t>
      </w:r>
    </w:p>
    <w:p>
      <w:r>
        <w:rPr>
          <w:b/>
        </w:rPr>
        <w:t>E. 4.4</w:t>
      </w:r>
    </w:p>
    <w:p>
      <w:r>
        <w:t>Das BFM weist zurecht darauf hin, dass die Ernsthaf­tigkeit der vorgebrachten Gefährdungslage aufgrund der Schilderun­gen der Beschwerdeführerin nicht glaubhaft wirkt. Vorab kann auf die ausführlichen Erwägungen des BFM verwiesen werden. So ist es ihr aufgrund der immer wieder stereotypen und generell ohne Realkennzei­chen zu Protokoll gegebenen Aussagen nicht gelungen, den Eindruck einer tatsächlich bestehenden und ernsthaften Bedrohungslage zu vermitteln. Im Weiteren fällt auf, dass sie sich nach dem angeblichen Fund der Eheurkunde lediglich bei ihrer Schwester, welche im selben Quar­tier wie die Familie wohne, versteckt gehalten habe. Ausserdem will sie die sie kompromittierende Eheurkunde zuhause und damit an einem für sie sehr riskanten Ort aufbewahrt haben (B 1/9 S. 3 und 5; B 10/4 Ant­wort 92). Auch dieser Umstand lässt kaum auf eine relevante Ge­fährdung durch Angehörige oder Mitglieder der Familie des Cousins schliessen. Bezeichnenderweise gab sie denn auch an, bis zum 19. März 2009 "normal" bei ihrer Familie gewohnt zu haben, was auch gegen Pressio­nen wegen der noch nicht geschlossenen Ehe spricht, die mit dem Cou­sin vereinbart worden sein soll (B 10/4 Antwort 17). In diesem Zusammenhang ist darauf hinzuweisen, dass die Beschwerdeführerin im Zeitpunkt der Ausreise bereits 26 Jahre alt war. Ihre weiteren Vorbringen, weshalb sie bei der Schwester nicht gesucht worden sei bezie­hungsweise diese sich zum Schein an der Suche nach ihr beteiligt habe, wirken ausgesprochen konstruiert (B 10/4 Antworten 19 und 80). Schliesslich äusserte sie auch am Schluss der Anhörung wieder Befürchtun­gen, ohne dabei eine persönliche Betroffenheit erkennen zu las­sen. In den Beschwerdeeingaben beschränkt sie sich weitgehend dar­auf, das angeblich Erlebte und Befürchtete aus ihrer Sicht nochmals kurz darzulegen; stichhaltige Argumente, welche zu einer anderen Sichtweise als derjenigen vom BFM führen würden, fehlen. Vielmehr entsteht insofern ein Widerspruch, als sie auf Beschwerdeebene ausführt, sie habe sich gegenüber dem Vater offen gegen eine Heirat mit dem Cousin ausgesprochen und sei deshalb von diesem und dem Bruder mit dem Tod bedroht worden. Im vorinstanzlichen Verfahren hatte sie demgegenüber angegeben, die Heirat mit dem Cousin lediglich hinausgezögert zu haben und die Gefahr sei erst entstanden, als die Heiratsurkunde gefunden worden sei. Dieser offensichtliche Widerspruch in den Vorbringen lässt nach dem Gesagten auf eine unglaubhafte Verfolgungsgeschichte schliessen.</w:t>
      </w:r>
    </w:p>
    <w:p>
      <w:r>
        <w:rPr>
          <w:b/>
        </w:rPr>
        <w:t>E. 5</w:t>
      </w:r>
    </w:p>
    <w:p>
      <w:r>
        <w:t>Zusammenfassend ist somit nicht davon auszugehen, dass der Be­schwer­deführerin im Heimatstaat ernsthaft Verfolgung durch Angehörige zu befürchten hat und deswegen auf staatlichen Schutz angewiesen wäre.</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Beschwerdeführerinnen verfügen weder über eine ausländerrechtliche Aufenthaltsbewilligung noch über einen Anspruch auf Erteilung einer sol­chen. Die Tatsache, dass ihr Ehemann respektive Vater in der Schweiz über eine Aufent­haltsbewilligung B verfügt, ändert nichts an dieser Sichtweise, da es sich da­bei nicht um ein gefestigtes Aufenthaltsrecht im Sinne der Rechtspre­chung handelt. Die Wegweisung wurde demnach zu Recht angeordnet be­ziehungsweise hat nach wie vor Bestand (vgl. BVGE 2009/50 E. 9 S. 733 m.H.a. Entscheidungen und Mitteilungen der Schweizerischen Asylre­kurskommission [EMARK] 2001 Nr. 21).</w:t>
      </w:r>
    </w:p>
    <w:p>
      <w:r>
        <w:rPr>
          <w:b/>
        </w:rPr>
        <w:t>E. 6.3</w:t>
      </w:r>
    </w:p>
    <w:p>
      <w:r>
        <w:t>Die Beschwerdeführerin wurde vom BFM in der angefochtenen Verfü­gung vorläufig in der Schweiz aufgenommen; die Tochter wurde in die vorläufige Aufnahme ihrer Mutter einbezogen. Entsprechend erübrigen sich aktuell Erörte­rungen zum Wegweisungsvollzug.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den Beschwerdeführerinnen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