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D-5095/2020 vom 11. September 2020</w:t>
      </w:r>
    </w:p>
    <w:p>
      <w:r>
        <w:t>Bundesverwaltungsgericht, 2020-09-11, IT</w:t>
      </w:r>
    </w:p>
    <w:p>
      <w:r>
        <w:rPr>
          <w:b/>
        </w:rPr>
        <w:t xml:space="preserve">Quelle: </w:t>
      </w:r>
      <w:r>
        <w:t>https://mcp.opencaselaw.ch/entscheid/bvger_D-5095_2020_d20200911</w:t>
      </w:r>
    </w:p>
    <w:p>
      <w:r>
        <w:t>FR: TAF D-5095/2020 du 11 septembre 2020</w:t>
      </w:r>
    </w:p>
    <w:p>
      <w:r>
        <w:t>IT: TAF D-5095/2020 del 11 settembre 2020</w:t>
      </w:r>
    </w:p>
    <w:p>
      <w:pPr>
        <w:pStyle w:val="Heading2"/>
      </w:pPr>
      <w:r>
        <w:t>Regeste</w:t>
      </w:r>
    </w:p>
    <w:p>
      <w:r>
        <w:t>Asilo ed allontanamento | Asilo ed allontanamento; decisione della SEM del 11 settembre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Inoltre, il 1° gennaio 2019 la legge federale sugli stranieri del 16 di- cembre 2005 (LStr, RS 142.20) è stata in parte modificata e rinominata</w:t>
      </w:r>
    </w:p>
    <w:p>
      <w:r>
        <w:t>D-5095/2020 Pagina 7 quale legge federale sugli stranieri e la loro integrazione (LStrI). Posto che i disposti della legge precitata che verranno menzionati nella presente sen- tenza (art. 83 cpv. 1 – 4) sono rimasti invariati dalla LStr alla LStrI, il Tribu- nale utilizzerà di seguito la nuova denominazione.</w:t>
      </w:r>
    </w:p>
    <w:p>
      <w:r>
        <w:rPr>
          <w:b/>
        </w:rPr>
        <w:t>E. 2</w:t>
      </w:r>
    </w:p>
    <w:p>
      <w:r>
        <w:t>Presentato tempestivamente (art. 108 cpv. 1 vecchia LAsi), contro una de- cisione in materia d’asilo della SEM (art. 6 e 105 LAsi, art. 31 – 33 LTAF), il ricorso è di principio ammissibile sotto il profilo degli art. 5, 48 cpv. 1 lett. a–c e 52 cpv. 1 PA.</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Innanzitutto, il ricorrente in sede ricorsuale ha fatto valere delle censure formali. Da una parte l’autorità di prime cure non avrebbe tenuto conto degli asseriti attriti tra l’interessato e l’interprete e d’altra parte avrebbe violato il suo diritto ad un equo processo e il suo diritto di essere sentito, poiché avrebbe effettuato un’analisi delle sue dichiarazioni rilevanti per l’asilo in maniera frettolosa e insufficiente giungendo alla conclusione che le stesse non fossero verosimili ex art. 7 LAsi e di conseguenza ha rinunciato ad esaminare la rilevanza ai sensi dell’art. 3 LAsi. A questo proposito il Tribu- nale ritiene che nonostante tali censure formali sarebbero da trattare preli- minarmente poiché potrebbero condurre alla cassazione della decisione impugnata (cfr. DTAF 2013/34 consid. 4.2), dato che nel caso in disamina l'esame di merito è favorevole all’insorgente in quanto la decisione impu- gnata viene annullata, si può rinunciare all'analisi delle censure formali (cfr. tra le tante, sentenza del Tribunale E-6420/2020 del 20 maggio 2021 consid. 5).</w:t>
      </w:r>
    </w:p>
    <w:p>
      <w:r>
        <w:rPr>
          <w:b/>
        </w:rPr>
        <w:t>E. 5.1</w:t>
      </w:r>
    </w:p>
    <w:p>
      <w:r>
        <w:t>Proseguendo con la disamina, a tenore dell'art. 7 cpv. 1 LAsi, chiunque domanda asilo deve provare o per lo meno rendere verosimile la sua qua- lità di rifugiato. La qualità di rifugiato è resa verosimile se l'autorità la ritiene</w:t>
      </w:r>
    </w:p>
    <w:p>
      <w:r>
        <w:t>D-5095/2020 Pagina 8 data con una probabilità preponderante (art. 7 cpv. 2 LAsi). Sono inverosi- 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Il Tribunale tiene conto della situazione nel Paese di origine dell’insor- gente e degli elementi che si presentano al momento della sentenza, pren- dendo quindi in considerazione l’evoluzione della situazione avvenuta dopo il deposito della domanda d’asilo (cfr. DTAF 2010/44 consid. 3.6; DTAF 2008/4 consid. 5.4).</w:t>
      </w:r>
    </w:p>
    <w:p>
      <w:r>
        <w:rPr>
          <w:b/>
        </w:rPr>
        <w:t>E. 5.4</w:t>
      </w:r>
    </w:p>
    <w:p>
      <w:r>
        <w:t>Nel caso di specie, il Tribunale, al contrario di quanto sostenuto dall’au- torità inferiore nella decisione avversata, rileva come il racconto autobio- grafico del ricorrente risulti essere verosimile e ciò per i motivi che se- guono.</w:t>
      </w:r>
    </w:p>
    <w:p>
      <w:r>
        <w:rPr>
          <w:b/>
        </w:rPr>
        <w:t>E. 5.4.1</w:t>
      </w:r>
    </w:p>
    <w:p>
      <w:r>
        <w:t>Il ricorrente ha dapprima saputo raccontare in maniera sufficiente- mente precisa e costante il contesto nel quale è stato sottoposto in patria</w:t>
      </w:r>
    </w:p>
    <w:p>
      <w:r>
        <w:t>D-5095/2020 Pagina 9 a differenti interrogatori tra il 2014 e il 2016, a causa del suo presunto le- game con le LTTE. La cronologia degli avvenimenti narrati dal ricorrente risulta coerente e le contraddizioni rilevate dalla SEM nella decisione av- versata possono essere ricondotte al lungo tempo trascorso dai fatti, in particolare per quanto attiene quanto dichiarato dall’interessato nei verbali d’audizione a cui è stato sottoposto. Infatti, il ricorrente è arrivato in Sviz- zera alla fine di maggio 2017 (cfr. atto della SEM n. A1/2), è stato interro- gato sommariamente l’8 giugno 2017 (cfr. atto della SEM n. A5/12) e ascol- tato la prima volta in audizione in data 20 marzo 2018 (cfr. atto della SEM n. A20/17), con completamento il 20 luglio 2018 (cfr. atto della SEM n. A25/15) e la seconda audizione si è tenuta l’11 giugno 2020 (cfr. atto della SEM n A33/30), quasi due anni dopo la prima audizione. Nonostante il lungo tempo trascorso tra i fatti narrati e le audizioni sostenute davanti all’autorità di prime cure, quanto esposto dall’interessato risulta eccezio- nalmente dettagliato, completo e circostanziato in relazione a quanto egli ha vissuto in patria, in particolare dal 2007 al 2017. Egli ha avuto la possi- bilità di raccontare il proprio vissuto la prima volta pochi mesi dopo che le sue vicissitudini lo portassero ad espatriare; successivamente egli ha nuo- vamente narrato il suo vissuto un anno dopo l’ultimo interrogatorio subito dalle autorità del proprio paese, mentre l’ultima audizione si è svolta ben tre anni dopo gli ultimi eventi e quasi dieci anni dopo il suo rilascio dal campo di riabilitazione. Il Tribunale ritiene che una narrazione completa e coerente, visto il lungo lasso di tempo intercorso, non sia umanamente possibile in una tale costellazione e, inoltre, la decisione avversata non tiene conto del fatto che il ricorrente ha subito gravi abusi sia durante il suo periodo di riabilitazione, sia nel corso degli interrogatori subiti a seguito della sua liberazione dal campo di riabilitazione.</w:t>
      </w:r>
    </w:p>
    <w:p>
      <w:r>
        <w:rPr>
          <w:b/>
        </w:rPr>
        <w:t>E. 5.4.2</w:t>
      </w:r>
    </w:p>
    <w:p>
      <w:r>
        <w:t>Il Tribunale ritiene che la credibilità delle dichiarazioni del ricorrente sia data. Dapprima si rileva come anche l’autorità inferiore non metta in dubbio le attività svolte in seno alle LTTE o le esperienze avute durante la guerra e non nutre dubbi in merito alla sua detenzione nel campo di riabili- tazione di F._______. Dai vari verbali sostenuti dall’interessato emerge che, dopo la scarcerazione, egli è stato astretto all’obbligo di firma da parte della autorità del proprio paese d’origine ed è stato sottoposto a ripetute pressioni, nonché a richieste di pagamento, vista la sua attività commer- ciale. Egli ha saputo raccontare dettagliatamente quanto capitatogli a se- guito del primo fermo avvenuto ad aprile 2014 in due udienze e dei pro- blemi sopraggiunti, sempre con le autorità del proprio paese, nell’ottobre del 2016, una volta lasciata la regione di C._______ a causa della gravi- danza della moglie, e culminati con l’ultimo fermo da lui esposto avvenuto a dicembre 2016 nel quale ha subito delle torture ed è stato portato a</w:t>
      </w:r>
    </w:p>
    <w:p>
      <w:r>
        <w:t>D-5095/2020 Pagina 10 L._______ da parte del CID. Tali racconti sono esposti in maniera sostan- ziosa dal ricorrente oltre ad essere caratterizzati da dettagli dai quali emerge in maniera preponderante una verosimiglianza di tali asserti. Il fatto che ad anni di distanza da tali fatti, e condizioni di stress date dalla difficoltà oggettiva dell’esser interrogato in un’audizione, l’interessato non sia più in grado di riportare ora dopo ora in dettaglio i vari arresti e interrogatori, ed eventualmente confonda una detenzione con l’altra, non deve, nel caso concreto, essere considerato come una palese contraddizione, ma risulta, agli occhi del Tribunale, comprensibile visto quanto precedentemente enunciato. A ciò si aggiunga che nelle dichiarazioni da egli rese racconta di aver avuto paura e tale sentimento è ben tangibile e risulta credibile dai suoi racconti. Altrettanto comprensibili e coerenti nell’arco delle varie nar- razioni sono le allegazioni in merito al momento dalla fuga, ove egli espone di essersi nascosto dalla famiglia a M._______, dopo aver cessato la pro- pria attività lavorativa per paura di nuovi sequestri da parte dell’autorità, e di aver deciso di fuggire dopo essere stato nuovamente ricercato nel feb- braio del 2017.</w:t>
      </w:r>
    </w:p>
    <w:p>
      <w:r>
        <w:rPr>
          <w:b/>
        </w:rPr>
        <w:t>E. 5.4.3</w:t>
      </w:r>
    </w:p>
    <w:p>
      <w:r>
        <w:t>In conclusione, visto quanto precede, il Tribunale giudica che i motivi d’asilo esposti dal ricorrente siano verosimili.</w:t>
      </w:r>
    </w:p>
    <w:p>
      <w:r>
        <w:rPr>
          <w:b/>
        </w:rPr>
        <w:t>E. 6</w:t>
      </w:r>
    </w:p>
    <w:p>
      <w:r>
        <w:t>ottobre 2022 consid. 8.3.2). L’elezione di Ranil Wickremesinghe, avve- nuta il 20 luglio 2022, come nuovo presidente del Paese, a seguito delle dimissioni di Gotabaya Rajapaksa, non modifica per il momento la valuta- zione della situazione, dato che quest'ultimo fa parte della vecchia élite politica (cfr. a titolo d’esempio sentenza del Tribunale E-458/2021 dell'8 giugno 2023 consid. 7.1.3, E-43/2020 del 2 giugno 2023 consid. 7.4.4 e D- 307/2020 del 20 marzo 2023 consid. 8.2).</w:t>
      </w:r>
    </w:p>
    <w:p>
      <w:r>
        <w:t>D-5095/2020 Pagina 13</w:t>
      </w:r>
    </w:p>
    <w:p>
      <w:r>
        <w:rPr>
          <w:b/>
        </w:rPr>
        <w:t>E. 6.1</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quindi ri- conosciuto come rifugiato colui che ha dei motivi oggettivamente riconosci- bili da terzi (elemento oggettivo) di temere (elemento soggettivo) d’essere esposto, in tutta verosimiglianza e in un futuro prossimo, ad una persecu- zione (cfr. DTAF 2014/27 consid. 6.1; 2011/51 consid. 6.2; 2010/57 con- sid. 2.5). Sul piano soggettivo, deve essere tenuto conto degli antecedenti dell’interessato, segnatamente dell’esistenza di persecuzioni anteriori non- ché della sua appartenenza ad una razza, ad un gruppo religioso, sociale</w:t>
      </w:r>
    </w:p>
    <w:p>
      <w:r>
        <w:t>D-5095/2020 Pagina 11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possibile di indurre chiunque si trovi nella stessa situazione a te- mere la persecuzione (cfr. DTAF 2014/27 consid. 6.1; 2010/57 con- sid. 2.5). Perché sia pertinente nella nozione di rifugiato, è tuttavia neces- sario che la situazione di persecuzione sia ancora attuale (cfr. DTAF 2013/11 consid. 5.1; 2011/50 consid. 3.1.2.2 e riferimenti citati; DTAF 2010/57 consid. 4.1; WALTER KÄLIN, Grundriss des Asylverfahrens, 1990, pag. 125 seg.).</w:t>
      </w:r>
    </w:p>
    <w:p>
      <w:r>
        <w:rPr>
          <w:b/>
        </w:rPr>
        <w:t>E. 6.2.1</w:t>
      </w:r>
    </w:p>
    <w:p>
      <w:r>
        <w:t>Nel caso concreto, come precedentemente enunciato (cfr. consid. 5.1 e segg.) il ricorrente ha dimostrato in modo credibile di essere stato preso di mira dalle forze di sicurezza dello Sri Lanka. È stato dapprima detenuto in un campo di riabilitazione dove ha subito delle torture ed è stato abusato sessualmente e dal quale è stato rilasciato il 30 settembre. Una volta rila- sciato e dopo aver ripreso un’attività lavorativa, dal 2014 è stato nuova- mente attenzionato dalle autorità e detenuto dal Criminal Investigation De- partement (di seguito: CID) per diversi giorni, nonché picchiato, intimidito, accusato di appartenere alle LTTE e di volerle ricreare. Il ricorrente ha dun- que subito delle persecuzioni ai sensi dell’art. 3 LAsi prima di lasciare il proprio Paese d’origine e al momento della partenza aveva un timore og- gettivamente giustificato di essere sposto a ulteriori persecuzioni in futuro.</w:t>
      </w:r>
    </w:p>
    <w:p>
      <w:r>
        <w:rPr>
          <w:b/>
        </w:rPr>
        <w:t>E. 6.2.2</w:t>
      </w:r>
    </w:p>
    <w:p>
      <w:r>
        <w:t>In concreto non vi è motivo di ritenere che la sua situazione personale di persecuzione, così come era al momento della partenza del ricorrente dallo Sri Lanka, sia migliorata in modo serio e permanente, nel senso che non dovrebbe più avere un fondato timore di subire nuove persecuzioni nel suddetto Paese.</w:t>
      </w:r>
    </w:p>
    <w:p>
      <w:r>
        <w:rPr>
          <w:b/>
        </w:rPr>
        <w:t>E. 6.2.3</w:t>
      </w:r>
    </w:p>
    <w:p>
      <w:r>
        <w:t>Nella sua sentenza di riferimento E-1866/2015 del 15 luglio 2016, il Tribunale ha in particolare esaminato, per i richiedenti di etnia tamil, la pro- blematica del rischio di essere l’oggetto di controlli accresciuti da parte delle autorità srilankesi, o anche di seri pregiudizi, sulla base di sospetti di</w:t>
      </w:r>
    </w:p>
    <w:p>
      <w:r>
        <w:t>D-5095/2020 Pagina 12 legami con l’opposizione e segnatamente con l’organizzazione delle LTTE, di cui le autorità temono sempre la rinascita. In tal senso, ad ogni persona suscettibile di essere considerata come rappresentante una minaccia da parte delle autorità srilankesi, dovrà esserle riconosciuto un timore ogget- tivamente fondato di subire dei pregiudizi in caso di ritorno in patria. Il Tri- bunale, ha in proposito identificato un certo numero di fattori di rischio detti “forti” – iscrizione nella “Stop-List”, l’effettiva o la presunta esistenza, at- tuale o passata, di legami con le LTTE o ancora attività di opposizione in esilio – che sono di per sé, suscettibili di fondare oggettivamente un rischio di seri pregiudizi. L’autorità succitata ha inoltre enumerato dei fattori detti “deboli” – l’assenza di documenti d’identità, essere rimpatriato forzata- mente o per l’intermediario dell’OIM, o ancora la presenza di cicatrici visibili – che, di per sé soli, non comportano un rischio di persecuzione. Questi ultimi permettono tuttavia di suscitare il timore di controlli accresciuti da parte delle autorità aeroportuali, o ancora che la persona in questione venga interrogata per stabilire le ragioni del suo soggiorno all’estero (cfr. sentenza E-1866/2015 in particolare consid. 8.5.5). Tali fattori di rischio de- vono quindi essere apprezzati in rapporto a tutti gli elementi evincibili dall’incarto, per determinare se conferiscano, o meno, all’interessato un profilo di rischio rilevante.</w:t>
      </w:r>
    </w:p>
    <w:p>
      <w:r>
        <w:rPr>
          <w:b/>
        </w:rPr>
        <w:t>E. 6.2.4</w:t>
      </w:r>
    </w:p>
    <w:p>
      <w:r>
        <w:t>I suddetti fattori di rischio, che possono costituire elementi di rischio rilevanti ai sensi della LAsi per le persone tamil che rientrano nello Sri Lanka, sono tutt’ora validi. Dalla pubblicazione della sentenza di riferi- mento, la situazione nello Sri Lanka ha subito diversi cambiamenti. Tra questi ricordiamo in particolare gli attacchi terroristici di Pasqua 2019, l 'ele- zione di Gotabaya Rajapaksa quale presidente del Paese avvenuta il 16 novembre 2019, nonché i recenti avvenimenti che hanno portato alle di- missioni di alcuni membri del governo e del presidente Gotabaya Ra- japaksa. La giurisprudenza del Tribunale, a causa dei cambiamenti inter- venuti, in particolare in relazione al passaggio di potere dopo le elezioni presidenziali del novembre 2019, si è basata piuttosto su una possibile ac- centuazione della situazione di vulnerabilità per le persone che rispondono a determinati fattori di rischio (cfr. sentenza del Tribunale E-6428/2019 del</w:t>
      </w:r>
    </w:p>
    <w:p>
      <w:r>
        <w:rPr>
          <w:b/>
        </w:rPr>
        <w:t>E. 6.3</w:t>
      </w:r>
    </w:p>
    <w:p>
      <w:r>
        <w:t>Nel caso concreto l’interessato presenta diversi fattori di rischio. Infatti, prima di espatriare, è stato attenzionato dalle autorità dello Sri Lanka in quanto accusato di aver legami con le LTTE e, in tale contesto, è stato vittima di torture e molestie da parte del CID. Sebbene egli non sia stato in passato attivo politicamente, come del resto durante il suo periodo passato in Svizzera, non si può escludere che un suo ritorno in Sri Lanka, dopo circa 10 anni d’assenza dal suddetto Paese, possa nuovamente riportarlo nel mirino delle autorità. Inoltre, è molto probabile che il suo nome sia an- cora registrato presso le autorità anche dopo aver cessato di adempiere all’obbligo di firma. Tenuto conto dei precedenti atti di persecuzione e del persistere delle precarie condizioni di sicurezza nello Sri Lanka, il timore soggettivo del ricorrente di subire ulteriori violenze qualora dovesse ritor- nare nel suo paese è oggettivamente comprensibile e giustificato ai sensi dell’art. 3 cpv. 1 LAsi.</w:t>
      </w:r>
    </w:p>
    <w:p>
      <w:r>
        <w:rPr>
          <w:b/>
        </w:rPr>
        <w:t>E. 6.4</w:t>
      </w:r>
    </w:p>
    <w:p>
      <w:r>
        <w:t>Ne discende quindi che in relazione al riconoscimento della qualità di rifu- giato ed alla concessione dell’asilo, il ricorso deve essere accolto. La deci- sione impugnata dell’11 settembre 2020 deve essere annullata e l’autorità inferiore è chiamata ad accordare l’asilo in Svizzera al ricorrente (art. 49 LAsi).</w:t>
      </w:r>
    </w:p>
    <w:p>
      <w:r>
        <w:rPr>
          <w:b/>
        </w:rPr>
        <w:t>E. 7</w:t>
      </w:r>
    </w:p>
    <w:p>
      <w:r>
        <w:t>Visto l’esito della procedura non si prelevano spese processuali (art. 63 cpv. 1 seg. PA).</w:t>
      </w:r>
    </w:p>
    <w:p>
      <w:r>
        <w:rPr>
          <w:b/>
        </w:rPr>
        <w:t>E. 8.1</w:t>
      </w:r>
    </w:p>
    <w:p>
      <w:r>
        <w:t>Giusta l’art. 64 cpv. 1 PA, l’autorità di ricorso, se ammette il ricorso in tutto o in parte, può, d’ufficio o su domanda, assegnare al ricorrente un’in- dennità per le spese indispensabili e relativamente elevate che ha soppor- tato. La parte vincente ha diritto alle ripetibili per le spese necessarie deri- vanti dalla causa (art. 7 cpv. 1 del regolamento sulle tasse e sulle spese ripetibili nelle cause dinanzi al Tribunale amministrativo federale del 21 feb- braio 2008 [TS-TAF, RS 173.320.2]). Le ripetibili comprendono le spese di rappresentanza o di patrocinio ed eventuali disborsi di parte (art. 8 cpv. 1 TS-TAF). Per spese non necessarie non vengono corrisposte indennità (art. 8 cpv. 2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t>D-5095/2020 Pagina 14</w:t>
      </w:r>
    </w:p>
    <w:p>
      <w:r>
        <w:rPr>
          <w:b/>
        </w:rPr>
        <w:t>E. 8.2</w:t>
      </w:r>
    </w:p>
    <w:p>
      <w:r>
        <w:t>Nella presente disamina, il ricorrente, rappresentato in questa sede, ha diritto alle ripetibili per le spese necessarie derivanti dalla causa (art. 7 cpv. 1 TS-TAF). Tuttavia, in difetto di una nota particolareggiata, l’indennità per le spese ripetibili è fissata d’ufficio dal Tribunale sulla base degli atti di causa in CHF 1'500.– complessivi (disborsi e indennità supplementare in rapporto all’IVA compresi; art. 7, art. 9 cpv. 1 lett. c e art. 14 cpv. 2 TS-TAF).</w:t>
      </w:r>
    </w:p>
    <w:p>
      <w:r>
        <w:rPr>
          <w:b/>
        </w:rPr>
        <w:t>E. 9</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D-5095/2020 Pagina 15 Per questi motivi, il Tribunale amministrativo federale pronun- cia: 1. Il ricorso è accolto. La decisione della SEM dell’11 settembre 2020 è an- nullata. 2. Al ricorrente è riconosciuta la qualità di rifugiato. Di conseguenza, la SEM è invitata ad accordare l’asilo all’insorgente. 3. Non si prelevano spese processuali. 4. La SEM rifonderà al ricorrente complessivamente CHF 1'500.– a titolo di spese ripetibili. 5.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