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D-5092/2011 vom 7. November 2012</w:t>
      </w:r>
    </w:p>
    <w:p>
      <w:r>
        <w:t>Bundesverwaltungsgericht, 2012-11-07, DE</w:t>
      </w:r>
    </w:p>
    <w:p>
      <w:r>
        <w:rPr>
          <w:b/>
        </w:rPr>
        <w:t xml:space="preserve">Quelle: </w:t>
      </w:r>
      <w:r>
        <w:t>https://mcp.opencaselaw.ch/entscheid/bvger_D-5092_2011</w:t>
      </w:r>
    </w:p>
    <w:p>
      <w:r>
        <w:t>FR: TAF D-5092/2011 du 7 novembre 2012</w:t>
      </w:r>
    </w:p>
    <w:p>
      <w:r>
        <w:t>IT: TAF D-5092/2011 del 7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gemäss den Rechtsbegehren und der Begründung ausschliesslich gegen den Vollzug der von der Vorinstanz verfügten Wegweisung. Die Verfügung des BFM vom 31. August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[EMARK] 2001 Nr. 21). Gegenstand des vorliegenden Verfahrens bildet somit - abgesehen von den formellen Rügen - lediglich die Frage, ob das Bundesamt den Vollzug der Wegweisung zu Recht als zulässig, zumutbar und möglich erklärt hat (Art. 44 Abs. 2 AsylG).</w:t>
      </w:r>
    </w:p>
    <w:p>
      <w:r>
        <w:rPr>
          <w:b/>
        </w:rPr>
        <w:t>E. 4.1</w:t>
      </w:r>
    </w:p>
    <w:p>
      <w:r>
        <w:t>In der Rechtsmitteleingabe wird in formeller Hinsicht gerügt, die Vorinstanz habe ihre Begründungspflicht verletzt, indem sie es unterlassen habe, die relevanten Herkunftsländerinformationen, auf welche sie ihren Entscheid stütze, offenzulegen. Der gebotenen Begründungspflicht sei die Vorinstanz auch deshalb nicht in genügendem Masse nachgekommen, da sie in der angefochtenen Verfügung ohne Begründung von der langjährigen Praxis des Bundesverwaltungsgerichts abgewichen sei. Daher sei die angefochtene Verfügung "in den Dispositionspunkten 4 und 5" infolge Verletzung des Grundsatzes des rechtlichen Gehörs aufzuheben und an die Vorinstanz zur Neubeurteilung zurückzuweisen.</w:t>
      </w:r>
    </w:p>
    <w:p>
      <w:r>
        <w:rPr>
          <w:b/>
        </w:rPr>
        <w:t>E. 4.2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4.4</w:t>
      </w:r>
    </w:p>
    <w:p>
      <w:r>
        <w:t>Soweit in der Beschwerde gerügt wird, die Vorinstanz habe die Begründungspflicht verletzt, indem sie es unterlassen habe, die relevanten Herkunftsländerinformationen, auf welche sie ihren Entscheid stütze, offenzulegen, ist Folgendes festzuhalten: Mit Ausnahme der UNHCR-Richtlinien zur Feststellung des internationalen Schutzbedarfs sri-lankischer Asylsuchender vom 5. Juli 2010 finden sich weder in der angefochtenen Verfügung noch in den übrigen vorinstanzlichen Akten explizit bezeichnete Länderberichte oder -informationen, in welche das BFM den Beschwerdeführenden hätte Einsicht gewähren können. Allgemeine Länderinformationen, welche der internen Erkenntnisbildung dienen, sind gemäss ständiger Rechtspraxis nicht Bestandteil des Akteneinsichtsrechts und folglich auch nicht offenzulegen. In Bezug auf die UNHCR-Richtlinien vom 5. Juli 2010 ist festzustellen, dass diese öffentlich zugänglich sind - so auch im Internet -, weswegen diesbezüglich keine Verletzung des Akteneinsichtsrechts beziehungsweise der Begründungspflicht vorliegt. Daran ändert auch die Tatsache nichts, dass in der angefochtenen Verfügung darauf verzichtet wurde, bezüglich dieses Dokumentes die relevanten Passagen anzugeben. Insgesamt liegt somit keine Verletzung des Akteneinsichtsrechts beziehungsweise der Begründungspflicht vor, da das BFM nicht gehalten war, die verwendeten allgemein zugänglichen Länderinformationen im beantragten Ausmass detailliert offenzulegen. Der gestellte Antrag, das BFM sei anzuweisen, sämtliche Herkunftsländerinformationen, auf welche es seinen Entscheid stützte, mittels Quellenangaben offenzulegen, ist daher abzuweisen.</w:t>
      </w:r>
    </w:p>
    <w:p>
      <w:r>
        <w:rPr>
          <w:b/>
        </w:rPr>
        <w:t>E. 4.5</w:t>
      </w:r>
    </w:p>
    <w:p>
      <w:r>
        <w:t>Bezüglich der Rüge in der Rechtsmittelschrift, wonach eine Verletzung der Begründungspflicht und des Anspruchs der Beschwerdeführenden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gelangte,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5.2.1 nachstehend). Inwiefern das BFM mit seinem Vorgehen die Begründungspflicht verletzt haben soll, ist in Anbetracht der insgesamt ausgewogenen und differenzierten Erwägungen in der angefochtenen Verfügung ohnehin nicht ersichtlich.</w:t>
      </w:r>
    </w:p>
    <w:p>
      <w:r>
        <w:rPr>
          <w:b/>
        </w:rPr>
        <w:t>E. 4.6</w:t>
      </w:r>
    </w:p>
    <w:p>
      <w:r>
        <w:t>Bei dieser Sachlage besteht somit keine Veranlassung, die angefochtene Verfügung aus formellen Gründen aufzuheben, weshalb das Begehren, der Entscheid vom 31. August 2011 sei in den Dispositivpunkten 4 und 5 aufzuheben und zur Neubeurteilung der Sache an das BFM zurückzuweisen, abzuweisen ist.</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in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rechtskräftig feststeht, dass es dem Beschwerdeführer nicht gelungen ist, eine asylrechtlich erhebliche Gefährdung nachzuweisen oder glaubhaft zu machen, kann das in Art. 5 AsylG verankerte Prinzip des flüchtlingsrechtlichen Rückschiebungsverbot im vorliegenden Verfahren keine Anwendung finden. Eine Rückkehr des Beschwerdeführers nach Sri Lanka ist demnach unter dem Aspekt von Art. 5 AsylG rechtmässig.</w:t>
      </w:r>
    </w:p>
    <w:p>
      <w:r>
        <w:rPr>
          <w:b/>
        </w:rPr>
        <w:t>E. 5.1.2</w:t>
      </w:r>
    </w:p>
    <w:p>
      <w:r>
        <w:t>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in einen Staat ausgeschafft werden, im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vorliegend nicht der Fall. Der Beschwerdeführer gehört keiner in Bezug auf die Flüchtlingseigenschaft relevanten Risikogruppe an, weshalb nicht davon auszugehen ist, ihm drohe im Rahmen der routinemässigen Überprüfung bei der Rückkehr diesbezüglich eine unmenschliche Behandlung. An dieser Einschätzung vermögen auch die im vorinstanzlichen Verfahren eingereichten Beweismittel und Unterlagen nichts zu ändern, da diese entweder lediglich der Feststellung der Identität des Beschwerdeführers beziehungsweise seiner Angehörigen dienen, den Beschwerdeführer nicht selber betreffen oder dann nicht geeignet sind, den vorgebrachten Sachverhalt glaubhaft zu machen, welche Feststellung im vorliegenden Beschwerdeverfahren nicht beanstandet worden ist. Die allgemeine Menschenrechtssituation in Sri Lanka lässt den Wegweisungsvollzug zum heutigen Zeitpunkt ebenfalls nicht als unzulässig erscheinen (vgl. BVGE 2011/24 E. 10.4.2).</w:t>
      </w:r>
    </w:p>
    <w:p>
      <w:r>
        <w:rPr>
          <w:b/>
        </w:rPr>
        <w:t>E. 5.1.3</w:t>
      </w:r>
    </w:p>
    <w:p>
      <w:r>
        <w:t>Nach dem Gesagten ist der Vollzug der Wegweisung sowohl im Sinne der asyl- als auch der völkerrechtlichen Bestimmungen zulässig.</w:t>
      </w:r>
    </w:p>
    <w:p>
      <w:r>
        <w:rPr>
          <w:b/>
        </w:rPr>
        <w:t>E. 5.2</w:t>
      </w:r>
    </w:p>
    <w:p>
      <w:r>
        <w:t>Gemäss Art. 83 Abs. 4 AuG kann der Vollzug der Wegweisung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5.2.1</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angepasst. Danach hat sich seit dem Ende des bewaffneten Konflikts zwischen der sri-lankischen Armee und den LTTE im Mai 2009 die allgemeine Lage in Sri Lanka erheblich verbessert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5.2.2</w:t>
      </w:r>
    </w:p>
    <w:p>
      <w:r>
        <w:t>Der Beschwerdeführer stammt aus dem Distrikt Jaffna, wo er von Geburt bis August 2006 und - nach dreijährigem Aufenthalt im "Vanni-Gebiet" - von November 2009 bis zu seiner Ausreise im Januar 2011 gelebt habe (vgl. Vorakten A5 S. 1 f.). Sodann verfügt er über eine achtjährige Schulbildung sowie über langjährige Berufserfahrung als Angestellter und auch als Besitzer eines Imbisslokals (vgl. A5 S. 3 und 6 sowie A15 S. 3 und 12). Des Weiteren hat er mit seinen nach wie vor im Distrikt Jaffna wohnhaften nächsten Angehörigen (Ehefrau und Tochter in N._______, Mutter und Schwester in D._______; vgl. A5 S. 3 f.) ein gutes Beziehungsnetz im Heimatstaat. Es ergeben sich aus den Akten auch keine Anhaltspunkte, dass der Vollzug der Wegweisung aus medizinischen Gründen nicht zumutbar sein könnte. Angesichts dieser Umstände ist davon auszugehen, dass der Beschwerdeführer bei einer Rückkehr in seine Heimat nicht in eine seine Existenz bedrohende Situation geraten wird.</w:t>
      </w:r>
    </w:p>
    <w:p>
      <w:r>
        <w:rPr>
          <w:b/>
        </w:rPr>
        <w:t>E. 5.2.3</w:t>
      </w:r>
    </w:p>
    <w:p>
      <w:r>
        <w:t>Nach dem Gesagten kann der Vollzug der Wegweisung sowohl in genereller als auch in individueller Hinsicht als zumutbar bezeichnet werden.</w:t>
      </w:r>
    </w:p>
    <w:p>
      <w:r>
        <w:rPr>
          <w:b/>
        </w:rPr>
        <w:t>E. 5.3</w:t>
      </w:r>
    </w:p>
    <w:p>
      <w:r>
        <w:t>Schliesslich obliegt es dem Beschwerdeführer, sich bei der zuständigen Vertretung des Heimatstaates die für eine Rückkehr notwendigen Reisedokumente zu beschaffen (vgl. Art. 8 Abs. 4 AsylG; BVGE 2008/34 E. 12 S. 513 ff.), weshalb der Vollzug der Wegweisung nicht als unmöglich zu bezeichnen ist (Art. 83 Abs. 2 AuG).</w:t>
      </w:r>
    </w:p>
    <w:p>
      <w:r>
        <w:rPr>
          <w:b/>
        </w:rPr>
        <w:t>E. 5.4</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die Kosten desselben dem Beschwerdeführer aufzuerlegen (Art. 63 Abs. 1 und 5 VwVG und Art. 1-3 des Reglements vom 21. Februar 2008 über die Kosten und Entschädigungen vor dem Bundesverwaltungsgericht [VGKE, SR 173.320.2]). Nachdem das vorliegende Beschwerdeverfahren nicht als aussichtslos bezeichnet werden konnte und der Beschwerdeführer in der Schweiz keiner bezahlten Tätigkeit nachgeht (so dass von seiner Bedürftigkeit ausgegangen werden kann), sind in Gutheissung des in der Beschwerde vom 14. September 2011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