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D-5089/2024 vom 17. Juli 2024</w:t>
      </w:r>
    </w:p>
    <w:p>
      <w:r>
        <w:t>Bundesverwaltungsgericht, 2024-07-17, DE</w:t>
      </w:r>
    </w:p>
    <w:p>
      <w:r>
        <w:rPr>
          <w:b/>
        </w:rPr>
        <w:t xml:space="preserve">Quelle: </w:t>
      </w:r>
      <w:r>
        <w:t>https://mcp.opencaselaw.ch/entscheid/bvger_D-5089_2024_d20240717</w:t>
      </w:r>
    </w:p>
    <w:p>
      <w:r>
        <w:t>FR: TAF D-5089/2024 du 17 juillet 2024</w:t>
      </w:r>
    </w:p>
    <w:p>
      <w:r>
        <w:t>IT: TAF D-5089/2024 del 17 luglio 2024</w:t>
      </w:r>
    </w:p>
    <w:p>
      <w:pPr>
        <w:pStyle w:val="Heading2"/>
      </w:pPr>
      <w:r>
        <w:t>Regeste</w:t>
      </w:r>
    </w:p>
    <w:p>
      <w:r>
        <w:t>Asyl (ohne Wegweisungsvollzug) | Asyl (ohne Wegweisungsvollzug); Verfügung des SEM vom 17.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D-5089/2024 Seite 4</w:t>
      </w:r>
    </w:p>
    <w:p>
      <w:r>
        <w:rPr>
          <w:b/>
        </w:rPr>
        <w:t>E. 1.2</w:t>
      </w:r>
    </w:p>
    <w:p>
      <w:r>
        <w:t>Die Beschwerde ist frist- und formgerecht eingereicht worden. Der Be- schwerdeführer ist als Verfügungsadressat zur Beschwerde legitimiert (Art. 105 und Art. 108 Abs. 2 AsylG; Art. 48 Abs. 1 sowie Art. 52 Abs. 1 VwVG). Auf die Beschwerde ist nach fristgerechter Leistung des Kosten- vorschusses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Soweit in der Beschwerde (sinngemäss) eine formelle Rüge erhoben wird, ist diese vorab zu beurteilen, da sie gegebenenfalls geeignet ist, eine Kassation der vorinstanzlichen Verfügung zu bewirken. Es wird geltend ge- macht, die Vorinstanz habe die vom Beschwerdeführer eingereichten Be- weise, insbesondere die Schreiben der Taliban, unzureichend berücksich- tigt.</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4.3</w:t>
      </w:r>
    </w:p>
    <w:p>
      <w:r>
        <w:t>Aus der angefochtenen Verfügung geht klar hervor, dass die Vorinstanz sich mit den Schreiben der Taliban auseinandergesetzt hat, diesen aber keine Hinweise entnehmen konnte, wonach dem Beschwerdeführer ernst- hafte Nachteile drohen würden. Der blosse Umstand, dass der Beschwer- deführer die Beurteilung der Schreiben durch die Vorinstanz nicht teilt, stellt keine Gehörsverletzung dar, sondern beschlägt die Frage der materiellen Würdigung. Die formelle Rüge erweist sich somit als unbegründet.</w:t>
      </w:r>
    </w:p>
    <w:p>
      <w:r>
        <w:t>D-5089/2024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und D-5270/2023 vom 23. Juli 2024 E. 4.1). Es ist im jeweiligen Einzel- fall zu beurteilen, ob konkrete Indizien und tatsächliche Anhaltspunkte vor- liegen, welche die Furcht vor drohender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BVGE 2014/27 E. 6.1, 2010/57 E. 2.5 jeweils m.w.H.).</w:t>
      </w:r>
    </w:p>
    <w:p>
      <w:r>
        <w:rPr>
          <w:b/>
        </w:rPr>
        <w:t>E. 6.2</w:t>
      </w:r>
    </w:p>
    <w:p>
      <w:r>
        <w:t>In der Beschwerde wurden hauptsächlich die bisherigen Vorbringen wiederholt. Der Beschwerdeführer macht eine grosse psychische Belas- tung infolge der prekären Lage in Afghanistan geltend. Er gibt an, er sei zwar noch nie persönlich von den Taliban bedroht worden, jedoch sei die von ihnen ausgehende Gefahr, welche die Vorinstanz falsch einschätze, allgegenwärtig. Die Lage sei weiterhin sehr instabil, weswegen er bei einer Rückkehr in erheblicher Lebensgefahr wäre.</w:t>
      </w:r>
    </w:p>
    <w:p>
      <w:r>
        <w:rPr>
          <w:b/>
        </w:rPr>
        <w:t>E. 7.1</w:t>
      </w:r>
    </w:p>
    <w:p>
      <w:r>
        <w:t>Die Vorinstanz hat in der angefochtenen Verfügung die vom Beschwer- deführer geltend gemachten Vorbringen – ungeachtet ihrer Glaubhaf- tigkeit – zu Recht als nicht asylrechtlich relevant erachtet.</w:t>
      </w:r>
    </w:p>
    <w:p>
      <w:r>
        <w:t>D-5089/2024 Seite 7</w:t>
      </w:r>
    </w:p>
    <w:p>
      <w:r>
        <w:rPr>
          <w:b/>
        </w:rPr>
        <w:t>E. 7.2</w:t>
      </w:r>
    </w:p>
    <w:p>
      <w:r>
        <w:t>Wie die Vorinstanz in der angefochtenen Verfügung zutreffend aus- führte, lassen sich bei der Beurteilung der Lage in Afghanistan gemäss der Rechtsprechung des Bundesverwaltungsgerichts Personen mit bestimm- ten Profilen definieren, die einem erhöhten Verfolgungsrisiko ausgesetzt sind; dazu gehören unter anderem Angehörige der ehemaligen afghani- schen Regierung oder Personen, welche den internationalen Militärkräften nahestehen oder als Unterstützer derselben wahrgenommen werden (vgl. dazu etwa Urteile des BVGer D-4915/2024 vom 20. September 2024 E.</w:t>
      </w:r>
    </w:p>
    <w:p>
      <w:r>
        <w:rPr>
          <w:b/>
        </w:rPr>
        <w:t>E. 7.3</w:t>
      </w:r>
    </w:p>
    <w:p>
      <w:r>
        <w:t>Die Vorinstanz ist in ihrer Verfügung zu Recht davon ausgegangen, dass der Beschwerdeführer kein erhöhtes Risikoprofil aufweist. Er war le- diglich als Chauffeur tätig und übte keine leitende Funktion in der afghani- schen Regierung aus, war politisch nicht aktiv und hat sich nie auf eine Art und Weise verhalten, welche ihn in den Augen der Taliban als missliebige Person erscheinen lassen würde. Es ist nicht davon auszugehen, dass die Taliban ein konkretes Verfolgungsinteresse am Beschwerdeführer haben.</w:t>
      </w:r>
    </w:p>
    <w:p>
      <w:r>
        <w:rPr>
          <w:b/>
        </w:rPr>
        <w:t>E. 7.4</w:t>
      </w:r>
    </w:p>
    <w:p>
      <w:r>
        <w:t>Weder die Erkundigungen der Taliban noch die eingereichten Briefe vermögen etwas an dieser Einschätzung zu ändern. Zu den Besuchen, welche zeitnah nach der Machtübernahme erfolgten, kann der Vorinstanz darin gefolgt werden, dass die Taliban anfänglich Widerstand von den bis- herigen Militärangehörigen erwartet haben. In Anbetracht der seither ver- gangenen Zeit ist nicht zu erwarten, dass dieses Verfolgungsmotiv noch aktuell ist. Die zu einem späteren Zeitpunkt erfolgten Nachfragen beim Va- ter des Beschwerdeführers scheinen, wie die Vorinstanz zu Recht ausführt, mehr auf die beim Beschwerdeführer vermuteten Waffen als auf die Person des Beschwerdeführers selbst gerichtet zu sein, zumal die Taliban jeweils nur die Waffen herausverlangten, ansonsten aber keine Forderungen er- hoben oder Konsequenzen in Aussicht gestellt haben. Ein weiteres Indiz gegen eine drohende Verfolgung ist der Umstand, dass die Familie des Beschwerdeführers weiterhin unbehelligt in Afghanistan leben konnte. In Bezug auf die Schreiben der Taliban ist festzuhalten, dass auch jene keine</w:t>
      </w:r>
    </w:p>
    <w:p>
      <w:r>
        <w:t>D-5089/2024 Seite 8 Hinweise enthalten, welche die Furcht vor erheblichen Nachteilen objektiv begründet erscheinen liessen. Beim Einwand, dass diese Schreiben einen Vorwand böten, um den Beschwerdeführer festzunehmen und zu töten, handelt es sich um eine reine Mutmassung, welche durch keinerlei Indizien gestützt werden.</w:t>
      </w:r>
    </w:p>
    <w:p>
      <w:r>
        <w:rPr>
          <w:b/>
        </w:rPr>
        <w:t>E. 7.5</w:t>
      </w:r>
    </w:p>
    <w:p>
      <w:r>
        <w:t>Weiter ist darauf hinzuweisen, dass der Beschwerdeführer auch aus der allgemeinen schwierigen Sicherheitslage in Afghanistan im heutigen Zeitpunkt keine flüchtlingsrechtlich relevante Verfolgung ableiten kann. Die aktuelle Lage entfaltet keine Asylrelevanz, zumal, wie dargelegt, keine kon- kret gegen ihn gerichteten Nachteile ersichtlich sind und er nicht zu einer besonders gefährdeten Gruppe von Personen gehört. Dies gilt auch für seine Zugehörigkeit zu den Schiiten. Es ist in Afghanistan nicht von einer Kollektivverfolgung der Schiiten auszugehen und der Beschwerdeführer hat in diesem Zusammenhang auch keine individuellen Nachteile geltend gemacht. Diese Einschätzung trifft nach der erwähnten Machtübernahme der Taliban weiterhin zu, da derzeit keine eindeutigen Informationen vorlie- gen, die darauf hindeuten, dass die Schiiten als Volksgruppe generell von einer asylrechtlich relevanten Verfolgung bedroht sind (vgl. Urteil des BVGer E-2132/2020 vom 23. August 2022 E. 8.3, D-3223/2024 vom 1. Juli 2024 E. 5.4). Die Sicherheitslage in Afghanistan führt somit nicht ohne Weiteres zu einer asylrechtlich relevanten Verfolgung des Beschwerdefüh- rers; ihr ist mit der vorläufigen Aufnahme Rechnung getragen.</w:t>
      </w:r>
    </w:p>
    <w:p>
      <w:r>
        <w:rPr>
          <w:b/>
        </w:rPr>
        <w:t>E. 7.6</w:t>
      </w:r>
    </w:p>
    <w:p>
      <w:r>
        <w:t>Insgesamt ist es dem Beschwerdeführer nicht gelungen, eine im Zeit- punkt der Ausreise bestehende oder bei einer (hypothetischen) Rückkehr konkret drohende flüchtlingsrechtlich relevante Gefährdung darzulegen.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D-5089/2024 Seite 9</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Oktober 2024 in gleicher Höhe geleis- tete Kostenvorschuss ist zur Bezahlung der Verfahrenskosten zu verwen- den.</w:t>
      </w:r>
    </w:p>
    <w:p>
      <w:r>
        <w:t>(Dispositiv nächste Seite)</w:t>
      </w:r>
    </w:p>
    <w:p>
      <w:r>
        <w:t>D-5089/2024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