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D-5081/2019 vom 5. März 2020</w:t>
      </w:r>
    </w:p>
    <w:p>
      <w:r>
        <w:t>Bundesverwaltungsgericht, 2020-03-05, DE</w:t>
      </w:r>
    </w:p>
    <w:p>
      <w:r>
        <w:rPr>
          <w:b/>
        </w:rPr>
        <w:t xml:space="preserve">Quelle: </w:t>
      </w:r>
      <w:r>
        <w:t>https://mcp.opencaselaw.ch/entscheid/bvger_D-5081_2019</w:t>
      </w:r>
    </w:p>
    <w:p>
      <w:r>
        <w:t>FR: TAF D-5081/2019 du 5 mars 2020</w:t>
      </w:r>
    </w:p>
    <w:p>
      <w:r>
        <w:t>IT: TAF D-5081/2019 del 5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Das Urteil in vorliegender Sache wird koordiniert mit demjenigen der Mutter sowie den Geschwistern des Beschwerdeführers ([...]) behandelt und ergeht zeitgleich mit dem gleichen Spruchkörper.</w:t>
      </w:r>
    </w:p>
    <w:p>
      <w:r>
        <w:rPr>
          <w:b/>
        </w:rPr>
        <w:t>E. 2</w:t>
      </w:r>
    </w:p>
    <w:p>
      <w:r>
        <w:t>Die Kognition des Bundesverwaltungsgerichts und die zulässigen Rügen richten sich im Asylbereich nach Art. 106 Abs. 1 AsylG.</w:t>
      </w:r>
    </w:p>
    <w:p>
      <w:r>
        <w:rPr>
          <w:b/>
        </w:rPr>
        <w:t>E. 3.1</w:t>
      </w:r>
    </w:p>
    <w:p>
      <w:r>
        <w:t>Der Beschwerdeführer machte in formeller Hinsicht geltend, die Vorinstanz habe ihre Begründungspflicht verletzt, den rechtserheblichen Sachverhalt im Sinne der Untersuchungspflicht nicht vollständig geprüft sowie den als nebensächlich zu befindenden Widersprüchen eine zentrale Bedeutung beigemessen. Zuerst sind die geltend gemachten formellen Rügen zu prüfen, da sie allenfalls geeignet sein könnten, eine Kassation der vorinstanzlichen Verfügung zu bewirken.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3.3</w:t>
      </w:r>
    </w:p>
    <w:p>
      <w:r>
        <w:t>Gemäss Art. 8 AsylG hat die asylsuchende Person demgegenüber die Pflicht (und unter dem Blickwinkel des rechtlichen Gehörs im Sinne von Art. 29 VwVG und Art. 29 Abs. 2 der Bundesverfassung der Schweizerischen Eidgenossenschaft vom 18. April 1999 [BV, SR 101]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3.4</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(a.a.O. E. 3.3 m.w.H.).</w:t>
      </w:r>
    </w:p>
    <w:p>
      <w:r>
        <w:rPr>
          <w:b/>
        </w:rPr>
        <w:t>E. 3.5</w:t>
      </w:r>
    </w:p>
    <w:p>
      <w:r>
        <w:t>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w:t>
      </w:r>
    </w:p>
    <w:p>
      <w:r>
        <w:rPr>
          <w:b/>
        </w:rPr>
        <w:t>E. 3.6</w:t>
      </w:r>
    </w:p>
    <w:p>
      <w:r>
        <w:t>Die Vorinstanz hat einerseits in ihrer Begründung bezüglich der Glaubhaftigkeitsprüfung zu den relevanten Asylvorbringen aufgrund mehrerer Punkte den verwaltungsverfahrensrechtlichen Anforderungen, insbesondere den Anforderungen an die Begründungsdichte, ungenügend Rechnung getragen. Anderseits ist festzustellen, dass der Sachverhalt mangelhaft abgeklärt worden ist und eine Auseinandersetzung mit der geltend gemachten Reflexverfolgung des Beschwerdeführers gänzlich fehlt. So fällt hinsichtlich der Begründungsdichte auf, dass die diesbezügliche Argumentation äusserst knapp ausgefallen ist, wobei sich die gesamte Glaubhaftigkeitsprüfung lediglich auf nebensächliche Widersprüche abstützt, ohne jedoch näher zu begründen, inwiefern dem Beschwerdeführer nicht geglaubt werden könne. Weiter wurde der Tatsache, dass die Ereignisse bereits einige Jahre zurückliegen, in keiner Weise Rechnung getragen, obwohl der zeitliche Faktor eine nicht unwesentliche Rolle in der Glaubhaftigkeitsprüfung spielt. Je weiter die BzP und die Anhörung zu den Asylgründen respektive die vorgebrachten Ereignisse auseinanderliegen, umso weniger darf sich eine allfällige Begründung der Unglaubhaftigkeit auf kleine oder unwesentliche, widersprüchliche Schilderungen abstützen (vgl. BVGE 2013/25, E. 5.3.1), was vorliegend jedoch gänzlich unberücksichtigt blieb. Ungewürdigt von der Vorinstanz blieben ebenso die ausführlichen Aussagen des Beschwerdeführers und diejenigen seiner Mutter sowie seiner Schwester (im separaten Verfahren), obwohl sie alle dieselben fluchtauslösenden Ereignisse dargelegt haben. Auch in diesem Zusammenhang wäre es Pflicht der Vorinstanz gewesen, diese Ausführungen mit in ihren Entscheid einzubeziehen, zumal so Zweifel über den Sachverhalt respektive allfällige Widersprüche hätten beseitigt werden können. Schliesslich beschränkte sich die vom Beschwerdeführer geltend gemachte Reflexverfolgung auf eine einzige Frage (vgl. A27/17, F104) und wurde lediglich in einem einzigen Satz der vorinstanzlichen Verfügung erwähnt. Diese rudimentäre Abklärung des rechtserheblichen Sachverhalts zu seiner geltend gemachten Reflexverfolgung sowie die minimal gehaltene diesbezügliche Begründung genügen weder den Anforderungen der Begründungs- noch der Untersuchungspflicht. Überdies wurde der behördlichen Pflicht, nicht nur die belastenden, sondern auch die entlastenden Tatsachen - insbesondere unter dem Gesichtspunkt der Schwere des Eingriffs - zu berücksichtigen, in keiner Weise Rechnung getragen.</w:t>
      </w:r>
    </w:p>
    <w:p>
      <w:r>
        <w:rPr>
          <w:b/>
        </w:rPr>
        <w:t>E. 3.8</w:t>
      </w:r>
    </w:p>
    <w:p>
      <w:r>
        <w:t>Zusammenfassend ergibt sich aus den vorhergehenden Erwägungen, dass die Vorinstanz einerseits in ungenügender Weise ihrer Begründungspflicht nachgekommen ist und somit einen Teilgehalt des Anspruchs auf das rechtliche Gehör verletzt hat. Anderseits stellt das Bundesverwaltungsgericht fest, dass auch der Pflicht, den rechtserheblichen Sachverhalt abzuklären, ungenügend nachgekommen wurde.</w:t>
      </w:r>
    </w:p>
    <w:p>
      <w:r>
        <w:rPr>
          <w:b/>
        </w:rPr>
        <w:t>E. 4.1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und es rechtfertigt sich eine Kassation der angefochtenen Verfügung. Im Übrigen bleibt auf diese Weise der Instanzenzug erhalten, was umso wichtiger ist, als das Bundesverwaltungsgericht letztinstanzlich entscheidet.</w:t>
      </w:r>
    </w:p>
    <w:p>
      <w:r>
        <w:rPr>
          <w:b/>
        </w:rPr>
        <w:t>E. 4.2</w:t>
      </w:r>
    </w:p>
    <w:p>
      <w:r>
        <w:t>Die Beschwerde ist gutzuheissen, soweit die Aufhebung der angefochtenen Verfügung beantragt wird. Die Verfügung vom 28. August 2019 ist aufzuheben und die Sache zur vollständigen Feststellung des Sachverhalts und anschliessenden Neubeurteilung - unter Würdigung aller entscheidwesentlichen Sachverhaltselemente sowie unter Berücksichtigung der Akten aus dem Dossier N (...) - an die Vorinstanz zurückzuweisen. Insbesondere wird von der Vorinstanz zu berücksichtigen sein, dass der Anspruch auf rechtliches Gehör gewährt werden muss und die Erwägungen, welche zum entsprechenden Entscheid geführt haben, gründlich darzulegen und zu begründen sind. Auch ist der Beschwerdeführer mit den Aussagen der Mutter und der Schwester, welche den eigenen Aussagen widersprechen könnten, vorgängig zu konfrontieren, um allfällige Erklärungen vorbringen und Missverständnisse beheben zu können. Die Vorinstanz darf sich insbesondere beim Erlass ihrer Verfügung nicht auf Tatsachen abstützen, zu denen die von der Verfügung betroffene Person sich nicht vorgängig äussern und diesbezüglich Beweis führen konnte. Da dieser Aspekt einen Teil der Sachverhaltsabklärung darstellt, kann erst danach die Würdigung der Glaubhaftigkeit erfolgen (vgl. Entscheidungen und Mitteilungen der schweizerischen Asylrekurskommission [EMARK] Nr.14, E.5a und 5b). Schliesslich wird neben einer umfassenden Klärung des Sachverhalts auch zu berücksichtigen sein, dass die Mutter (N [...]) des Beschwerdeführers unter Konzentrationsstörungen sowie Amnesie leidet, welche den Inhalt des Protokolls massgeblich verfälscht haben könnte, weshalb vorab entsprechende medizinische Unterlagen abzuwarten sind.</w:t>
      </w:r>
    </w:p>
    <w:p>
      <w:r>
        <w:rPr>
          <w:b/>
        </w:rPr>
        <w:t>E. 5.1</w:t>
      </w:r>
    </w:p>
    <w:p>
      <w:r>
        <w:t>Bei diesem Ausgang des Verfahrens sind im Sinne von Art. 63 VwVG keine Verfahrenskosten aufzuerlegen.</w:t>
      </w:r>
    </w:p>
    <w:p>
      <w:r>
        <w:rPr>
          <w:b/>
        </w:rPr>
        <w:t>E. 5.2</w:t>
      </w:r>
    </w:p>
    <w:p>
      <w:r>
        <w:t>Obsiegende oder teilweise obsiegende Parteien haben Anspruch auf eine Parteientschädigung zulasten der Vorinstanz für die ihm erwachsenen notwendigen und verhältnismässig hohen Kosten (Art. 64 Abs. 1 VwVG i.V.m. Art. 7 des Reglements vom 21. Februar 2008 über die Kosten und Entschädigungen vor dem Bundesverwaltungsgericht [VGKE, SR 173.320.2]).</w:t>
      </w:r>
    </w:p>
    <w:p>
      <w:r>
        <w:rPr>
          <w:b/>
        </w:rPr>
        <w:t>E. 5.3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5.4</w:t>
      </w:r>
    </w:p>
    <w:p>
      <w:r>
        <w:t>Im vorliegenden Verfahren wurde keine Kostennote eingereicht. Auf die Nachforderung einer solchen wird verzichtet (Art. 14 Abs. 2 VGKE), da vorliegend der Aufwand für die Beschwerdeführung zuverlässig abgeschätzt werden kann. Gestützt auf die in Betracht zu ziehenden Bemessungsfaktoren gemäss Art. 9 - 13 VGKE ist die Parteientschädigung anhand der Akten pauschal auf Fr. 1'700.- festzusetzen. Dieser Betrag ist dem Beschwerdeführer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