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D-5079/2019 vom 5. März 2020</w:t>
      </w:r>
    </w:p>
    <w:p>
      <w:r>
        <w:t>Bundesverwaltungsgericht, 2020-03-05, DE</w:t>
      </w:r>
    </w:p>
    <w:p>
      <w:r>
        <w:rPr>
          <w:b/>
        </w:rPr>
        <w:t xml:space="preserve">Quelle: </w:t>
      </w:r>
      <w:r>
        <w:t>https://mcp.opencaselaw.ch/entscheid/bvger_D-5079_2019</w:t>
      </w:r>
    </w:p>
    <w:p>
      <w:r>
        <w:t>FR: TAF D-5079/2019 du 5 mars 2020</w:t>
      </w:r>
    </w:p>
    <w:p>
      <w:r>
        <w:t>IT: TAF D-5079/2019 del 5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Das Urteil in vorliegender Sache wird koordiniert mit demjenigen des erwachsenen Sohnes respektive des Bruders der Beschwerdeführenden (D-5081/2019) behandelt und ergeht zeitgleich mit dem gleichen Spruchkörper.</w:t>
      </w:r>
    </w:p>
    <w:p>
      <w:r>
        <w:rPr>
          <w:b/>
        </w:rPr>
        <w:t>E. 2</w:t>
      </w:r>
    </w:p>
    <w:p>
      <w:r>
        <w:t>Die Kognition des Bundesverwaltungsgerichts und die zulässigen Rügen richten sich im Asylbereich nach Art. 106 Abs. 1 AsylG.</w:t>
      </w:r>
    </w:p>
    <w:p>
      <w:r>
        <w:rPr>
          <w:b/>
        </w:rPr>
        <w:t>E. 3.1</w:t>
      </w:r>
    </w:p>
    <w:p>
      <w:r>
        <w:t>Die Beschwerdeführenden machten geltend, die Vorinstanz habe ihre Begründungspflicht sowie die Gewährung des rechtlichen Gehörs verletzt und den rechtserheblichen Sachverhalt im Sinne des Untersuchungsgrundsatzes nicht vollständig geprüft. Deshalb sind zuerst die geltend gemachten formellen Rügen zu prüfen, da sie allenfalls geeignet sein könnten,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E.3.2; m.w.H.).</w:t>
      </w:r>
    </w:p>
    <w:p>
      <w:r>
        <w:rPr>
          <w:b/>
        </w:rPr>
        <w:t>E. 3.4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3.5</w:t>
      </w:r>
    </w:p>
    <w:p>
      <w:r>
        <w:t>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Der Anspruch auf rechtliches Gehör beinhaltet schliesslich auch, dass die Behörden alles in den Akten festzuhalten haben, was zur Sache gehört und entscheidwesentlich sein kann. Daraus resultiert die Pflicht der Aktenführung, welche übersichtlich sowie vollständig zu sein hat und es ersichtlich sein muss, wer die Akten erstellt hat und wie sie zustande gekommen sind (BVGE 2015/10 E. 3.3 m.w.H).</w:t>
      </w:r>
    </w:p>
    <w:p>
      <w:r>
        <w:rPr>
          <w:b/>
        </w:rPr>
        <w:t>E. 3.6</w:t>
      </w:r>
    </w:p>
    <w:p>
      <w:r>
        <w:t>Vorliegend ist festzuhalten, dass der Anspruch auf rechtliches Gehör wegen mangelnder Begründungspflicht verletzt wurde. Weiter ist festzustellen, dass der rechtserhebliche Sachverhalt ungenügend abgeklärt wurde. Die Vorinstanz hat es gänzlich unterlassen, den in den Akten (zunächst im vorinstanzlichen Aktenverzeichnis nicht vermerkten) Therapiebericht vom 24. Juni 2019 in ihrer Entscheidfindung zu erwähnen oder gar zu berücksichtigen. Obwohl es ihr auch auf Vernehmlassungstufe möglich gewesen wäre, sich hierzu zu äussern, hat sie auch bei dieser Gelegenheit mit keinem Wort den vorliegenden Therapiebericht erwähnt und somit ein wesentliches Beweisdokument unberücksichtigt gelassen. Sodann ist festzustellen, dass die Begründung der Vorinstanz bezüglich der Glaubhaftigkeitsprüfung zu den relevanten Asylvorbringen der Beschwerdeführenden 1 aufgrund mehrerer Punkte den verwaltungsverfahrensrechtlichen Anforderungen, insbesondere den Anforderungen an die Begründungsdichte, nicht entspricht. So fällt auf, dass die Begründung nicht nur äusserst knapp ausgefallen ist, sondern in der Verfügung lediglich in allgemeiner Weise auf die Unsubstanziiertheit der Vorbringen verwiesen wurde, ohne diese näher zu begründen. Besonders schwer ins Gewicht fällt die Tatsache, dass auch die ausführlichen Aussagen der Beschwerdeführenden 2 und des Sohnes (N [...]) unberücksichtigt geblieben sind und keinen Eingang in die Entscheidfindung der vorinstanzlichen Verfügung gefunden haben. Auch hier wäre es Pflicht der Vorinstanz gewesen, diese Ausführungen mit in ihren Entscheid einzubeziehen, zumal alle dieselben fluchtauslösenden Ereignisse geschildert haben. Der behördlichen Pflicht, nicht nur die belastenden, sondern auch die entlastenden Tatsachen - insbesondere unter dem Gesichtspunkt der Schwere des Eingriffs - zu berücksichtigen, wurde nicht Rechnung getragen. Deshalb ist vorliegend festzustellen, dass der rechtserhebliche Sachverhalt ungenügend abgeklärt und somit der Untersuchungsgrundsatz verletzt wurde. Weiter wurde trotz klarer Anzeichen sowohl seitens der Beschwerdeführenden 1 selber als auch der Tochter sowie anhand des Therapieberichts ihr gesundheitlicher Zustand in der Entscheidfindung in keiner Weise berücksichtigt. Gemäss Rechtsprechung kann es bei einer diagnostizierten PTBS zu Ungenauigkeit in der Erinnerung der Betroffenen führen und die Krankheit kann sich auf das Aussageverhalten der traumatisierten Person auswirken, was entsprechend bei der Beurteilung der Glaubhaftigkeit der Vorbringen zu beachten ist. (vgl. Urteil E-3415/2013 vom 8. April 2014, E. 4.3.2.). So blendet die Vorinstanz auch die Tatsache vollständig aus, dass die Beschwerdeführende1 zu Protokoll gegeben hat, sie fühle sich seit den Ereignissen wie eine ausgewechselte Person und könne sich an gar nichts mehr, nicht einmal an die an die Geburtstage ihrer Kinder, erinnern. Zudem gehe es ihr in der letzten Zeit psychisch schlechter, weshalb sie anstatt einmal im Monat nun jede Woche ihre Psychologin konsultieren müsse (vgl. act. A36/21, F96 und F134). Auch die Beschwerdeführende 2 legte anlässlich ihrer Anhörung dar, dass sich ihre Mutter psychisch schlecht fühle, oft weine und traurig sei (vgl. act. A37/10, F63). Wäre ergänzend der Therapiebericht berücksichtigt worden, hätte sich zudem ein noch klareres Bild zum psychischen Zustand der Beschwerdeführenden 1 ergeben, wobei dies hätte in der Entscheidfindung berücksichtigt oder zumindest in der Verfügung erwähnt werden müssen. Aus dem Bericht geht klarerweise hervor, dass die Beschwerdeführende 1 unter einer posttraumatischen Belastungsstörung leidet, wobei zudem explizit auf ihre mit der Diagnose einhergehende Vergesslichkeit aufmerksam gemacht wird. Schliesslich ist anzufügen, dass auch der Tatsache, dass die Ereignisse bereits einige Jahre zurückliegen, in keiner Weise Rechnung getragen wurde.</w:t>
      </w:r>
    </w:p>
    <w:p>
      <w:r>
        <w:rPr>
          <w:b/>
        </w:rPr>
        <w:t>E. 3.8</w:t>
      </w:r>
    </w:p>
    <w:p>
      <w:r>
        <w:t>Zusammenfassend ergibt sich aus den vorhergehenden Erwägungen, dass die Vorinstanz in ungenügender Weise ihrer Abklärungs- und Begründungspflicht nachgekommen ist und somit einen Teilgehalt des Anspruchs auf das rechtliche Gehör verletzt hat. Des Weiteren ist festzuhalten, dass der Sachverhalt unter Berücksichtigung der Aussagen der Beschwerdeführenden 2 sowie diejenigen des Sohnes erneut zu überprüfen ist.</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Im Übrigen bleibt auf diese Weise der Instanzenzug erhalten, was umso wichtiger ist, als das Bundesverwaltungsgericht letztinstanzlich entscheidet.</w:t>
      </w:r>
    </w:p>
    <w:p>
      <w:r>
        <w:rPr>
          <w:b/>
        </w:rPr>
        <w:t>E. 4.2</w:t>
      </w:r>
    </w:p>
    <w:p>
      <w:r>
        <w:t>Die Beschwerde ist gutzuheissen, soweit die Aufhebung der angefochtenen Verfügung beantragt wird. Die Verfügung vom 28. August 2019 ist aufzuheben und die Sache zur vollständigen Feststellung des Sachverhalts und anschliessenden Neubeurteilung an die Vorinstanz zurückzuweisen.</w:t>
      </w:r>
    </w:p>
    <w:p>
      <w:r>
        <w:rPr>
          <w:b/>
        </w:rPr>
        <w:t>E. 4.3.1</w:t>
      </w:r>
    </w:p>
    <w:p>
      <w:r>
        <w:t>Zuerst wird sich die Vorinstanz mit der konkreten Frage auseinandersetzen müssen, ob die Beschwerdeführerin 1 aufgrund ihres gesundheitlichen Zustands überhaupt in der Lage war, auf die ihr anlässlich der Anhörung vom 27. Mai 2019 gestellten Fragen angemessen antworten zu können. Diese Frage wird nicht ohne die Einschätzungen des behandelnden Arztes zu beantworten sein, weshalb sie dazu angehalten wird, einen ausführlichen Arztbericht die Beschwerdeführerin 1 betreffend, einzuholen. Insbesondere wird zu klären sein, ob die Konzentrationsstörungen sowie die Amnesie ausschliesslich als Folge einer Traumatisierung einzustufen sind oder ob zudem die Medikation einen Einfluss auf die Aussagefähigkeit ausübt, was entsprechend in der Entscheidfindung zu berücksichtigen sein wird.</w:t>
      </w:r>
    </w:p>
    <w:p>
      <w:r>
        <w:rPr>
          <w:b/>
        </w:rPr>
        <w:t>E. 4.3.2</w:t>
      </w:r>
    </w:p>
    <w:p>
      <w:r>
        <w:t>Sodann muss aufgrund der Faktenlage davon ausgegangen werden, dass eine ergänzende Anhörung erfolgen muss, da der Sachverhalt insgesamt ungenügend abgeklärt werden konnte, jedoch auch insbesondere im Bezug zu ihrer Tätigkeit bei einer deutschen Nichtregierungsorganisation.</w:t>
      </w:r>
    </w:p>
    <w:p>
      <w:r>
        <w:rPr>
          <w:b/>
        </w:rPr>
        <w:t>E. 4.3.3</w:t>
      </w:r>
    </w:p>
    <w:p>
      <w:r>
        <w:t>Schliesslich wird unter Würdigung aller entscheidwesentlichen Sachverhaltselemente sowie unter Berücksichtigung der Akten des Sohnes (N [...]) die Sache im Sinne einer Neubeurteilung zu entscheiden sein. Dabei hat die Vorinstanz ihre Erwägungen, wie sie zum entsprechenden Entscheid gelangt ist, gründlich darzulegen und zu begründen.</w:t>
      </w:r>
    </w:p>
    <w:p>
      <w:r>
        <w:rPr>
          <w:b/>
        </w:rPr>
        <w:t>E. 5</w:t>
      </w:r>
    </w:p>
    <w:p>
      <w:r>
        <w:t>Bei diesem Ausgang des Verfahrens sind im Sinne von Art. 63 VwVG keine Verfahrenskosten aufzuerlegen.</w:t>
      </w:r>
    </w:p>
    <w:p>
      <w:r>
        <w:rPr>
          <w:b/>
        </w:rPr>
        <w:t>E. 5.1</w:t>
      </w:r>
    </w:p>
    <w:p>
      <w:r>
        <w:t>Obsiegende oder teilweise 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5.3</w:t>
      </w:r>
    </w:p>
    <w:p>
      <w:r>
        <w:t>Im vorliegenden Verfahren wurde keine Kostennote eingereicht. Auf die Nachforderung einer solchen wird verzichtet (Art. 14 Abs. 2 VGKE), da vorliegend der Aufwand für die Beschwerdeführung zuverlässig abgeschätzt werden kann. Gestützt auf die in Betracht zu ziehenden Bemessungsfaktoren gemäss Art. 9 - 13 VGKE ist die Parteientschädigung anhand der Akten pauschal auf Fr. 1'800.- festzusetzen. Dieser Betrag ist den Beschwerdeführenden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