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D-5078/2017 vom 7. Februar 2018</w:t>
      </w:r>
    </w:p>
    <w:p>
      <w:r>
        <w:t>Bundesverwaltungsgericht, 2018-02-07, FR</w:t>
      </w:r>
    </w:p>
    <w:p>
      <w:r>
        <w:rPr>
          <w:b/>
        </w:rPr>
        <w:t xml:space="preserve">Quelle: </w:t>
      </w:r>
      <w:r>
        <w:t>https://mcp.opencaselaw.ch/entscheid/bvger_D-5078_2017</w:t>
      </w:r>
    </w:p>
    <w:p>
      <w:r>
        <w:t>FR: TAF D-5078/2017 du 7 février 2018</w:t>
      </w:r>
    </w:p>
    <w:p>
      <w:r>
        <w:t>IT: TAF D-5078/2017 del 7 febbraio 2018</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(cf. art. 48 al. 1 PA). Présenté dans la forme (cf. art. 52 al. 1 PA) et le délai (cf.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LEtr [RS 142.20] en relation avec l'art. 49 PA; voir aussi ATAF 2014/26, consid. 5).</w:t>
      </w:r>
    </w:p>
    <w:p>
      <w:r>
        <w:rPr>
          <w:b/>
        </w:rPr>
        <w:t>E. 2</w:t>
      </w:r>
    </w:p>
    <w:p>
      <w:r>
        <w:t>Sur le plan formel, l'intéressé se limite à affirmer que le SEM, en violation de son obligation de motiver, s'est basé sur trois éléments pour écarter sa demande d'asile, à savoir ses déclarations contradictoires, le nombre des menaces reçues ainsi que le caractère illogique de sa fuite à C._______, mais ne précise pas quels éléments pertinents n'auraient pas été pris en considération dans l'examen de sa demande de protection. Son grief n'étant nullement motivé, il doit être écarté. Le Tribunal ne voit pas non plus en quoi le droit d'être entendu du recourant aurait été violé en raison de la durée des auditions. Il est vrai que le but de la première audition, relative aux données personnelles, n'est pas d'instruire de manière complète les motifs à l'appui de la demande d'asile (cf art. 26 al. 2 LAsi). Toutefois, le SEM peut entendre sommairement le requérant sur ce point. Dans ce cas, il lui est loisible de comparer les allégations faites à ce stade à celles faites lors de l'audition sur les motifs et d'octroyer le droit d'être entendu sur d'éventuelles contradictions portant sur des éléments essentiels. Tel a été le cas en l'espèce (cf. procès-verbal d'audition [pv.] du 10 mai 2017, réponses aux questions 150 à 158, p. 20 s.). Dans ces conditions, la requête visant au renvoi de la cause au SEM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3.2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A l'instar du SEM, le Tribunal considère que les éléments plaidant pour l'invraisemblance des faits allégués l'emportent clairement sur ceux qui parlent en faveur de leur vraisemblance. En effet, l'intéressé a déclaré avoir été menacé pour la première fois le jour même de l'enterrement de son père (cf. pv. du 18 août 2016 pt. 7.01 et 7.04, p. 8 s.), ou, au contraire, le lendemain (cf. pv. du 10 mai 2017, réponse à la question 101, p. 13), puis ultérieurement encore, le nombre des menaces reçues variant cependant de deux à vingt fois (cf. pv. du 18 août 2016 pt. 7.01, p. 8 et pv. du 10 mai 2017, réponses aux questions 115 et 117, p. 15). De plus, il aurait vécu caché à C._______ durant une année après avoir été retrouvé par les Shebabs (cf. pv. du 18 août 2016, pt. 7.01, p. 8), ou se serait enfui trois jours après avoir été découvert par ceux-ci (cf. pv. du 10 mai 2017, réponse à la question 118, p. 15). Ces contradictions sur des éléments essentiels de la demande d'asile ne sauraient être expliquées par le fait que l'intéressé n'aurait pas été en forme lors de sa première audition (pv. du 10 mai 2017, réponse à la question 157, p. 21) ou par la durée différente des deux auditions. En outre, il n'est pas crédible que l'intéressé, prétendument menacé de mort par les Shebabs dans sa région d'origine, ait pris domicile à C._______ en mars 2011, dès lors que ceux-ci s'y trouvaient, puisqu'ils se sont retirés de C._______ durant l'année 2012 (cf. notamment rapport [...]). Enfin, le SEM a estimé à juste titre que les différents articles de presse produits n'étaient pas pertinents, dans la mesure où ils concernent le père de l'intéressé et ne sauraient remettre en cause les invraisemblances du récit de ce dernier.</w:t>
      </w:r>
    </w:p>
    <w:p>
      <w:r>
        <w:rPr>
          <w:b/>
        </w:rPr>
        <w:t>E. 4.2</w:t>
      </w:r>
    </w:p>
    <w:p>
      <w:r>
        <w:t>Au vu de ce qui précède, le recours, en tant qu'il conteste le refus de la reconnaissance de la qualité de réfugié et le rejet de la demande d'asile,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l'espèce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Pour les mêmes motifs, le recourant n'a pas démontré à satisfaction de droit l'existence d'un risque réel, fondé sur des motifs sérieux et avérés, d'être exposé, en cas de retour dans son pays d'origine, à des traitements prohibés par l'art. 3 CEDH.</w:t>
      </w:r>
    </w:p>
    <w:p>
      <w:r>
        <w:rPr>
          <w:b/>
        </w:rPr>
        <w:t>E. 7.4</w:t>
      </w:r>
    </w:p>
    <w:p>
      <w:r>
        <w:t>Dès lors, l'exécution du renvoi du recourant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w:t>
      </w:r>
    </w:p>
    <w:p>
      <w:r>
        <w:rPr>
          <w:b/>
        </w:rPr>
        <w:t>E. 8.2</w:t>
      </w:r>
    </w:p>
    <w:p>
      <w:r>
        <w:t>Selon la jurisprudence du Tribunal, l'exécution du renvoi n'est en principe pas exigible dans le centre et le sud de la Somalie. S'agissant des régions situées dans le nord du pays, comme le Somaliland et le Puntland, l'exécution du renvoi est exigible sous réserve de conditions favorables, notamment l'existence de liens étroits avec la région, permettant l'accès à un minimum vital, ainsi que la garantie d'un soutien de la part des membres du clan (cf. notamment ATAF 2014/27 et arrêts du TAF D-4721/2016 du 26 mai 2017, consid. 6.5.2 et E-2215/2017 du 18 mai 2017, consid. 8.4).</w:t>
      </w:r>
    </w:p>
    <w:p>
      <w:r>
        <w:rPr>
          <w:b/>
        </w:rPr>
        <w:t>E. 8.3</w:t>
      </w:r>
    </w:p>
    <w:p>
      <w:r>
        <w:t>En l'espèce, depuis son retour en Somalie, en 2005, le recourant a vécu à B._______, dans l'Etat du Puntland, jusqu'en 2011. Il fait partie de la famille clanique Darod et du clan Majerteen, soit les clans largement majoritaires dans cette région. En tant que [fonction au sein d'un clan], il ne fait aucun doute qu'il pourra compter sur la protection et le soutien de son réseau clanique à son retour et sa réintégration sera encore facilitée par le fait qu'il est dans la force de l'âge et sans problème de santé particulier. En plus, il pourra aussi mettre à profit son expérience professionnelle, ayant déjà géré un commerce de pièces détachées pour les voitures à B._______. L'intéressé ayant aussi vécu à C._______, de 2011 à 2016, où résident des membres de sa famille, notamment des cousins qui l'avaient aidé à s'intégrer lors de son établissement dans cette ville, il lui est loisible de s'y réinstaller. Il y était propriétaire d'un magasin, y faisait du commerce et a pu se rendre à l'étranger à des fins professionnelles à plusieurs reprises.</w:t>
      </w:r>
    </w:p>
    <w:p>
      <w:r>
        <w:rPr>
          <w:b/>
        </w:rPr>
        <w:t>E. 8.4</w:t>
      </w:r>
    </w:p>
    <w:p>
      <w:r>
        <w:t>Au vu de ce qui précède, l'exécution du renvoi de l'intéressé en Somalie est raisonnablement exigible au sens de l'art. 83 al. 4 LEtr., ce qui n'est du reste pas contesté dans le recours.</w:t>
      </w:r>
    </w:p>
    <w:p>
      <w:r>
        <w:rPr>
          <w:b/>
        </w:rPr>
        <w:t>E. 9</w:t>
      </w:r>
    </w:p>
    <w:p>
      <w:r>
        <w:t>Enfin, l'exécution du renvoi est possible (cf. ATAF 2008/34 consid. 12 p. 513 ss et juris. cit.), le recourant étant tenu de collaborer à l'obtention de documents de voyage lui permettant de retourner dans son pays d'origine (cf. art. 8 al. 4 LAsi).</w:t>
      </w:r>
    </w:p>
    <w:p>
      <w:r>
        <w:rPr>
          <w:b/>
        </w:rPr>
        <w:t>E. 10</w:t>
      </w:r>
    </w:p>
    <w:p>
      <w:r>
        <w:t>Vu l'issue du recours, il y aurait lieu de mettre les frais de procédure à la charge du recourant (cf. art. 63 al. 1 PA et 2 et 3 let. b du règlement du 21 février 2008 concernant les frais, dépens et indemnités fixés par le Tribunal administratif fédéral [FITAF, RS 173.320.2]). Toutefois, celui-ci ayant été mis au bénéfice de l'assistance judiciaire totale, il est statué sans frais.</w:t>
      </w:r>
    </w:p>
    <w:p>
      <w:r>
        <w:rPr>
          <w:b/>
        </w:rPr>
        <w:t>E. 11</w:t>
      </w:r>
    </w:p>
    <w:p>
      <w:r>
        <w:t>L'indemnité due au mandataire d'office prend en considération, dès le dépôt du recours, les frais nécessaires à la défense de la présente cause et un tarif horaire de 100 francs. Elle est fixée à 400 francs, conformément aux art. 10, 12 et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