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D-5077/2018 vom 12. August 2020</w:t>
      </w:r>
    </w:p>
    <w:p>
      <w:r>
        <w:t>Bundesverwaltungsgericht, 2020-08-12, DE</w:t>
      </w:r>
    </w:p>
    <w:p>
      <w:r>
        <w:rPr>
          <w:b/>
        </w:rPr>
        <w:t xml:space="preserve">Quelle: </w:t>
      </w:r>
      <w:r>
        <w:t>https://mcp.opencaselaw.ch/entscheid/bvger_D-5077_2018</w:t>
      </w:r>
    </w:p>
    <w:p>
      <w:r>
        <w:t>FR: TAF D-5077/2018 du 12 août 2020</w:t>
      </w:r>
    </w:p>
    <w:p>
      <w:r>
        <w:t>IT: TAF D-5077/2018 del 12 agosto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die Schilderungen des Beschwerdeführers seien vage ausgefallen und enthielten keinerlei markante Realkennzeichen. Es sei ihm trotz entsprechender Aufforderung nicht gelungen, die Vorfälle mit den Soldaten ausführlich und widerspruchsfrei darzulegen. Er habe sich insbesondere in Bezug auf die Frage, ob seine Eltern bei seiner Verhaftung zuhause gewesen seien, sowie bezüglich der Haftdauer widersprüchlich geäussert. Seine Einwände, er habe in der BzP aus verschiedenen Gründen nicht genau berichten können, er habe keine Zeit gehabt, sich auf die Befragung vorzubereiten respektive seine Aussagen in der BzP seien wohl falsch protokolliert worden, überzeugten nicht. Die Art und Weise, wie er angeblich freigekommen sei, sowie die geltend gemachte telefonische Bedrohung in F._______ seien sodann nicht plausibel. Zudem habe er die Telefonanrufe erst in der Anhörung erwähnt. Seinen Angaben zufolge hätten die Behörden seinen Aufenthaltsort in F._______ gekannt; es sei daher nicht plausibel, dass er nicht direkt festgenommen worden sei, sondern stattdessen seine Eltern zuhause behelligt worden seien. Aus diesen Gründen sei die geltend gemachte Verfolgung durch Soldaten, welche seine Schwester hätten vergewaltigen wollen und diese gesucht hätten, nicht glaubhaft. Der Beschwerdeführer habe im Weiteren keine Verfolgung im Zusammenhang mit der geltend gemachten Mitgliedschaft von Familienangehörigen bei den «Black Tigers» glaubhaft gemacht. Schliesslich bestehe auch kein begründeter Anlass zur Annahme, dass er bei einer Rückkehr nach Sri Lanka aus anderen Gründen mit beachtlicher Wahrscheinlichkeit und in absehbarer Zukunft asylrelevanten Verfolgungsmassnahmen ausgesetzt wäre (Verweis auf die im Referenzurteil E-1866/2015 des BVGer vom 15. Juli 2016 definierten Risikofaktoren). Seine Vorbringen würden insgesamt den Anforderungen an die Glaubhaftigkeit respektive die Flüchtlingseigenschaft nicht standhalten, weshalb die Flüchtlingseigenschaft zu verneinen und das Asylgesuch abzulehnen sei. Das Dossier der Schwester (N [...]) sei beigezogen worden und ändere nichts an dieser Einschätzung. Im Übrigen sei der Wegweisungsvollzug nach Sri Lanka zulässig, zumutbar und möglich. Hinsichtlich der Frage der individuellen Zumutbarkeit des Vollzugs verwies das SEM insbesondere auf das am Herkunftsort bestehende Beziehungsnetz, die finanzielle Unterstützung der Familie durch einen Onkel in Grossbritannien sowie die frühere Erwerbstätigkeit des Beschwerdeführers und stellte ausserdem fest, die ärztliche Untersuchung in der Schweiz habe offenbar ergeben, dass Rücken und Knie des Beschwerdeführers in Ordnung seien.</w:t>
      </w:r>
    </w:p>
    <w:p>
      <w:r>
        <w:rPr>
          <w:b/>
        </w:rPr>
        <w:t>E. 3.2</w:t>
      </w:r>
    </w:p>
    <w:p>
      <w:r>
        <w:t>In der Beschwerde wiederholt der Beschwerdeführer seine Asylgründe und fügt an, sein Vater habe einige Jahre lang in Saudi-Arabien gelebt, weil er sich aufgrund seiner Tätigkeit für die Liberation Tigers of Tamil Eelam (LTTE) vor strafrechtlicher Verfolgung gefürchtet habe. Die Familie habe damals an einen anderen Ort ziehen müssen. Es bestünden auch noch weitere familiäre Verbindungen zu den LTTE, welche ihm im Falle einer Rückkehr nach Sri Lanka zum Nachteil gereichen könnten; dies könne dem Verfahren betreffend seine Schwester (E._______; N [...]) entnommen werden. Ausserdem stünden seine Fluchtgründe im Zusammenhang mit der Verfolgung seiner Schwester (Verweis auf die Beschwerdeeingabe betreffend seine Schwester; vgl. D-5083/2018). Angesichts der Asylgründe, welche in der Beschwerde der Schwester vorgebracht würden, sei es notwendig, seine Asylvorbringen erneut zu überprüfen. Daher sei die Sache an die Vorinstanz zurückzuweisen.</w:t>
      </w:r>
    </w:p>
    <w:p>
      <w:r>
        <w:rPr>
          <w:b/>
        </w:rPr>
        <w:t>E. 4</w:t>
      </w:r>
    </w:p>
    <w:p>
      <w:r>
        <w:t>In der Beschwerde wird unter anderem beantragt, die vorinstanzliche Verfügung sei aufzuheben und zwecks vollständiger Feststellung des Sachverhalts in Bezug auf die Flüchtlingseigenschaft und Asylgewährung sowie zur Neubeurteilung an die Vorinstanz zurückzuweisen (vgl. Ziff. 4 der Beschwerdeanträge). Dieser Antrag wird (einzig) damit begründet, dass es aufgrund der in der Beschwerde seiner Schwester dargelegten Asylgründe notwendig sei, auch die Asylvorbringen des Beschwerdeführers erneut zu prüfen (vgl. S. 4 der Beschwerde). Diesbezüglich ist Folgendes zu bemerken: Im Beschwerdeverfahren betreffend die Schwester des Beschwerdeführers wurde ebenfalls ein Kassationsantrag gestellt, und zwar wegen angeblicher Verletzung des Untersuchungsgrundsatzes und der Prüfungspflicht. Dieser Kassationsantrag wurde indessen abgewiesen, wobei festgestellt wurde, der rechtserhebliche Sachverhalt sei ausreichend erstellt (vgl. E. 4 des datumsgleichen Urteils D-5083/2018). Es ist vorliegend nicht ersichtlich und wird seitens des Beschwerdeführers auch nicht näher ausgeführt, welche konkreten Vorbringen in der Beschwerdeeingabe seiner Schwester es weshalb notwendig machen könnten, seine Asylvorbringen neu zu beurteilen, respektive inwiefern der der vorinstanzlichen Verfügung zugrundeliegende Sachverhalt unvollständig erstellt sei. Aus Sicht des Gerichts erweist sich der rechtserhebliche Sachverhalt als hinreichend erstellt. Die formelle Rüge erweist sich damit als unbegründet, und es besteht keine Veranlassung, die angefochtene Verfügung zu kassieren.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w:t>
      </w:r>
    </w:p>
    <w:p>
      <w:r>
        <w:t>Nachfolgend ist zu prüfen, ob der Beschwerdeführer die Flüchtlingseigenschaft erfüllt (vgl. Art. 3 und 7 AsylG).</w:t>
      </w:r>
    </w:p>
    <w:p>
      <w:r>
        <w:rPr>
          <w:b/>
        </w:rPr>
        <w:t>E. 6.1</w:t>
      </w:r>
    </w:p>
    <w:p>
      <w:r>
        <w:t>Der Beschwerdeführer macht geltend, er sei im (...) 2016 von Soldaten, welche nach seiner Schwester gesucht hätten, mitgenommen, mehrere Wochen festgehalten und dabei geschlagen worden. Nachdem ihn sein Vater freigekauft habe, sei er nach F._______ gegangen, wo er mehrfach telefonisch bedroht worden sei.</w:t>
      </w:r>
    </w:p>
    <w:p>
      <w:r>
        <w:rPr>
          <w:b/>
        </w:rPr>
        <w:t>E. 6.1.1</w:t>
      </w:r>
    </w:p>
    <w:p>
      <w:r>
        <w:t>Im Beschwerdeurteil betreffend die Schwester des Beschwerdeführers wird erwogen, es sei nicht glaubhaft, dass sie nach ihrem Weggang aus D._______ zuhause gesucht worden sei (vgl. dazu das datumsgleiche Urteil D-5083/2018, E. 6.1.1). Folglich ist auch das Vorbringen des Beschwerdeführers zu bezweifeln, er sei von Soldaten verfolgt worden, welche nach seiner Schwester gesucht hätten. Der Eindruck der Unglaubhaftigkeit dieses Vorbringens wird erhärtet durch den Umstand, dass die Aussagen des Beschwerdeführers zu seiner angeblichen Verfolgung durch Soldaten mehrere Ungereimtheiten aufweisen. So machte er insbesondere widersprüchliche Angaben in Bezug auf den Zeitpunkt des ersten Besuchs durch die Soldaten (Januar 2016 [vgl. A4 S. 6; A12 F128] vs. Februar 2016 [vgl. A12 F57 und F66]) sowie hinsichtlich der Frage, ob seine Probleme erst nach der Ausreise der Schwester aus Sri Lanka begonnen hätten (vgl. A4 S. 6; A12 F57) oder bereits vorher (vgl. A12 F64 und F66). Sodann brachte er in der BzP vor, beim zweiten Besuch durch die Soldaten seien seine Eltern zuhause gewesen und geschlagen worden (vgl. A4 S. 6), in der Anhörung machte er hingegen geltend, er sei beim zweiten Besuch alleine zuhause gewesen (vgl. A12 F72 und F74). Auf Vorhalt gab er an, er sei in der BzP aufgeregt gewesen und habe sich Sorgen um seine Eltern gemacht (vgl. A12 F97 ff.), was indessen nicht geeignet ist, die diametral unterschiedliche Sachverhaltsdarstellung zu erklären. Des Weiteren widersprach sich der Beschwerdeführer bezüglich des Zeitraums zwischen den beiden Besuchen durch Soldaten (eine Woche [vgl. A4 S. 6] vs. circa einen Monat [vgl. A12 F128]) sowie der Dauer seiner angeblichen Inhaftierung (circa zwei Wochen [vgl. A4 S. 6; s. auch S. 3 der Beschwerde] vs. circa einen Monat [vgl. A12 F80 und F89]). Seine auf Vorhalt dieser Widersprüche gelieferten Erklärungen, er habe in der BzP inkorrekte Angaben gemacht, weil er aufgeregt beziehungsweise nicht gut vorbereitet gewesen sei (vgl. A12 F93 und F141), respektive die Haftdauer sei wohl in der BzP falsch protokolliert worden (vgl. A12 F140), vermögen nicht zu überzeugen, da auch von einer aufgeregten Person spontane (nicht extra vorbereitete), konsistente zeitliche Angaben zu zentralen Ereignissen erwartet werden können und der Beschwerdeführer mit seiner Unterschrift bestätige, dass das Protokoll der BzP, welches ihm rückübersetzt worden war, seinen Aussagen entspricht. Schliesslich fällt auf, dass der Beschwerdeführer auch nicht in der Lage war, widerspruchsfrei und präzise anzugeben, wann genau seine angebliche Verhaftung erfolgte (vgl. A12 F70: am (...) 2016; A12 F89: am [...] oder [...] 2016; A12 F91: zwischen dem [...] 2016).</w:t>
      </w:r>
    </w:p>
    <w:p>
      <w:r>
        <w:rPr>
          <w:b/>
        </w:rPr>
        <w:t>E. 6.1.2</w:t>
      </w:r>
    </w:p>
    <w:p>
      <w:r>
        <w:t>Den Akten zufolge lebte der Beschwerdeführer vor seiner Ausreise im Juni 2017 ungefähr eineinhalb Jahre lang in F._______. Ausser den angeblichen telefonischen Drohungen war er in dieser Zeit keinen Verfolgungsmassnahmen ausgesetzt. Da die Soldaten gemäss Aussage des Beschwerdeführers seinen Aufenthaltsort in F._______ kannten (vgl. A12 F112), ist allerdings davon auszugehen, dass sie ihn bei bestehendem Verfolgungsinteresse direkt dort aufgesucht und (erneut) festgenommen hätten (beziehungsweise ihn von Kollegen hätten festnehmen lassen), anstatt bloss mehrmals anzurufen, zumal sie dazu mehr als genug Zeit gehabt hätten. Sein Einwand, die Soldaten hätten dies nicht gemacht, weil sie befürchtet hätten, er hätte sich sonst bei einem Parlamentsmitglied oder einer Menschenrechtsorganisation beschwert (vgl. A12 F114) ist unlogisch, da er auch bei einer allfälligen Festnahme am Herkunftsort eine solche Beschwerde hätte einreichen können. Der Umstand, dass der Beschwerdeführer in F._______ keinen ernsthaften Verfolgungsmassnahmen ausgesetzt war, spricht demnach ebenfalls für die Unglaubhaftigkeit der geltend gemachten Verfolgung.</w:t>
      </w:r>
    </w:p>
    <w:p>
      <w:r>
        <w:rPr>
          <w:b/>
        </w:rPr>
        <w:t>E. 6.1.3</w:t>
      </w:r>
    </w:p>
    <w:p>
      <w:r>
        <w:t>Da gestützt auf die vorstehenden Erwägungen nicht geglaubt werden kann, dass der Beschwerdeführer vor seiner Ausreise im Zusammenhang mit seiner Schwester von Soldaten verfolgt wurde, sind auch seine - nicht näher substanziierten - weiteren Vorbringen, sein Vater sei seinetwegen im Dezember 2017 von Soldaten geschlagen und sein jüngerer Bruder einige Male auf der Strasse angehalten worden, als unglaubhaft zu erachten.</w:t>
      </w:r>
    </w:p>
    <w:p>
      <w:r>
        <w:rPr>
          <w:b/>
        </w:rPr>
        <w:t>E. 6.1.4</w:t>
      </w:r>
    </w:p>
    <w:p>
      <w:r>
        <w:t>Dem Beschwerdeführer ist es nach dem Gesagten nicht gelungen glaubhaft zu machen, dass er im Ausreisezeitpunkt einer asylbeachtlichen Verfolgung durch Soldaten ausgesetzt war. Es kann ihm demnach auch keine begründete Furcht vor zukünftiger asylbeachtlicher Verfolgung in diesem Zusammenhang zuerkannt werden.</w:t>
      </w:r>
    </w:p>
    <w:p>
      <w:r>
        <w:rPr>
          <w:b/>
        </w:rPr>
        <w:t>E. 6.2</w:t>
      </w:r>
    </w:p>
    <w:p>
      <w:r>
        <w:t>Der Beschwerdeführer macht ausserdem geltend, es bestünden familiäre Verbindungen zur LTTE, welche zu seiner Verfolgung führen könnten. So sei eine Tante Mitglied der «Black Tigers» gewesen, und sein Vater habe vor der Heirat Hilfsarbeiten für die LTTE ausgeführt. Der Beschwerdeführer verweist in Bezug auf die Verbindung von Familienangehörigen zur LTTE ausserdem auf das Asylverfahren seiner Schwester. Den beigezogenen Akten seiner Schwester (vgl. N [...]; D-5083/2018) können indes keine darüberhinausgehenden Verbindungen von Angehörigen zur LTTE entnommen werden. Im Weiteren ist festzustellen, dass die Tante, welche angeblich LTTE-Mitglied gewesen sei, offenbar bereits im Jahr 1995 verstorben ist, und die angebliche Hilfsarbeitertätigkeit des Vaters für die LTTE ebenfalls schon viele Jahre zurückliegt. Der Beschwerdeführer machte nicht geltend, infolge der dargelegten LTTE-Beziehungen dieser Verwandten schon früher Probleme gehabt zu haben. Er erklärte im Gegenteil, er sei nicht deswegen ausgereist, sondern wegen der Verfolgung im Zusammenhang mit seiner Schwester (vgl. A12 F121). Es erscheint demnach unwahrscheinlich, dass er im Falle seiner Rückkehr nach Sri Lanka aufgrund der angeblichen früheren LTTE-Verbindungen von Familienangehörigen einer asylbeachtlichen Verfolgung ausgesetzt werden könnte.</w:t>
      </w:r>
    </w:p>
    <w:p>
      <w:r>
        <w:rPr>
          <w:b/>
        </w:rPr>
        <w:t>E. 6.3</w:t>
      </w:r>
    </w:p>
    <w:p>
      <w:r>
        <w:t>Schliesslich ist zu prüfen, ob der Beschwerdeführer im Falle seiner Rückkehr nach Sri Lanka aus anderen Gründen flüchtlingsrechtlich relevante Verfolgungsmassnahmen zu befürchten hätte.</w:t>
      </w:r>
    </w:p>
    <w:p>
      <w:r>
        <w:rPr>
          <w:b/>
        </w:rPr>
        <w:t>E. 6.3.1</w:t>
      </w:r>
    </w:p>
    <w:p>
      <w:r>
        <w:t>Das Bundesverwaltungsgericht hat im Urteil E-1866/2015 vom 15. Juli 2016 [als Referenzurteil publiziert] unter Berücksichtigung von zahlreichen einschlägigen Quellen eine Analyse der Situation von Rückkehrenden nach Sri Lanka vorgenommen und dabei verschiedene Kriterien aufgestellt, die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International Organisation for Migration (IOM) begleitete Rückführung sowie gut sichtbare Narben schwach risikobegründende Faktoren darstellen.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F._______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6.3.2</w:t>
      </w:r>
    </w:p>
    <w:p>
      <w:r>
        <w:t>Diesbezüglich ist festzustellen, dass der Beschwerdeführer weder in Sri Lanka noch in der Schweiz politisch aktiv war respektive ist und insbesondere nie als Befürworter des tamilischen Separatismus in Erscheinung getreten ist. Es bestehen ferner keine Hinweise darauf, dass er persönlich Kontakte zur LTTE oder zu tamilischen Exilorganisationen unterhalten hat oder aktuell pflegt. Wie bereits vorstehend festgestellt, ist nicht davon auszugehen, dass er zukünftig aufgrund der geltend gemachten (früheren) Verbindungen von Familienangehörigen zur LTTE Verfolgungsmassnahmen seitens der sri-Lankischen Behörden zu gewärtigen hätte (vgl. E. 6.2).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vorliegend nicht erfüllt. Abgesehen von der vorstehend für unglaubhaft befundenen Verfolgung und Inhaftierung durch Soldaten hatte der Beschwerdeführer den Akten zufolge keine Probleme mit den heimatlichen Behörden. Er war nie politisch oder im LTTE-Umfeld tätig und ist mit dem eigenen Reisepass kontrolliert aus Sri Lanka ausgereist. Es ist aufgrund der Aktenlage nicht davon auszugehen, dass er in Sri Lanka einschlägig registriert ist oder gar auf einer Fahndungsliste der heimatlichen Behörden steht und im Falle seiner Rückkehr einer erhöhten Verfolgungsgefahr unterliegt. Daher erscheint es selbst in Anbetracht der jüngeren Lageentwicklung in Sri Lanka insgesamt unwahrscheinlich, dass er bei einer Rückkehr infolge seines Aufenthalts in der Schweiz in asylrelevanter Weise gefährdet wäre.</w:t>
      </w:r>
    </w:p>
    <w:p>
      <w:r>
        <w:rPr>
          <w:b/>
        </w:rPr>
        <w:t>E. 6.4</w:t>
      </w:r>
    </w:p>
    <w:p>
      <w:r>
        <w:t>Zusammenfassend ist festzustellen, dass die geltend gemachten Asylgründe nicht geeignet sind, eine asyl- respektive flüchtlingsrechtlich relevante Verfolgung beziehungsweise eine entsprechende Verfolgungsfurcht zu begründen. Die im vorliegenden Verfahren beigezogenen Akten der Schwester (E._______, N [...]; D-5077/2018), deren Beschwerde mit datumsgleichem Urteil abgewiesen wird, vermögen an dieser Einschätzung nichts zu ändern.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ihm im Fall einer Rückschiebung Folter oder unmenschliche Behandlung drohen würde (vgl. EGMR [Grosse Kammer], Saadi gegen Italien, Urteil vom 28. Februar 2008, Beschwerde Nr. 37201/06, §§ 124-127,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negativ aus (vgl. vorstehend E. 6).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jüngsten Ereignisse in Sri Lanka, namentlich der im November 2019 erfolgten Wahl von Gotabaya Rajapaksa zum Präsidenten.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8.3.2</w:t>
      </w:r>
    </w:p>
    <w:p>
      <w:r>
        <w:t>Das SEM hat demnach den Vollzug der Wegweisung des Beschwerdeführers an seinen Herkunftsort im Distrikt Jaffna, Nordprovinz, zu Recht als generell zumutbar erachtet.</w:t>
      </w:r>
    </w:p>
    <w:p>
      <w:r>
        <w:rPr>
          <w:b/>
        </w:rPr>
        <w:t>E. 8.3.3</w:t>
      </w:r>
    </w:p>
    <w:p>
      <w:r>
        <w:t>In Bezug auf die individuellen Zumutbarkeitskriterien ist für den vorliegenden Fall festzustellen, dass es sich beim Beschwerdeführer um einen heute (...)-jährigen Mann mit durchschnittlicher Schulbildung handelt, welcher vor der Ausreise als Bodenleger arbeitete. Anlässlich der Anhörung klagte er über Rücken- und Knieschmerzen, jedoch wurde ihm bei seinem Arztbesuch in der Schweiz bescheinigt, es sei alles in Ordnung (vgl. A12 F84 und F133). Damit ist es ihm grundsätzlich zuzumuten, nach seiner Rückkehr nach Sri Lanka erneut einer Erwerbstätigkeit nachzugehen. Des Weiteren geht aus den Angaben des Beschwerdeführers hervor, dass mehrere Verwandte nach wie vor am Herkunftsort leben, darunter insbesondere seine Eltern und der jüngere Bruder sowie Geschwister seiner Eltern. Die Eltern verfügen über ein Eigenheim und erhalten von einem in London lebenden Onkel des Beschwerdeführers finanzielle Unterstützung. Es kann demnach davon ausgegangen werden, dass der Beschwerdeführer an seinem Herkunftsort über ein tragfähiges soziales Beziehungsnetz sowie eine gesicherte Wohnmöglichkeit verfügt. Insgesamt ist der Vollzug der Wegweisung daher auch in individueller Hinsicht als zumutbar zu erachten.</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dessen Kosten dem Beschwerdeführer aufzuerlegen (Art. 63 Abs. 1 VwVG). Nachdem jedoch das mit der Beschwerde gestellte Gesuch um unentgeltliche Prozessführung mit Verfügung vom 11. September 2018 gutgeheissen worden ist, werden keine Verfahrenskosten erhoben.</w:t>
      </w:r>
    </w:p>
    <w:p>
      <w:r>
        <w:rPr>
          <w:b/>
        </w:rPr>
        <w:t>E. 10.2</w:t>
      </w:r>
    </w:p>
    <w:p>
      <w:r>
        <w:t>Mit derselben 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Ermangelung einer Kostennote sind die notwendigen Parteikosten aufgrund der Akten zu bestimmen (Art. 14 Abs. 2 in fine VGKE). Die am 19. September 2018 mandatierte Rechtsvertreterin hat den Akten zufolge lediglich am 26. September 2018 ihre Mandatsübernahme mitgeteilt und eine Unterstützungsbestätigung betreffend den Beschwerdeführer eingereicht. Anderweitige Aufwendungen oder Auslagen sind nicht aktenkundig. Angesichts dessen wird der amtlichen Rechtsbeiständin ein amtliches Honorar von insgesamt Fr. 150.- ausgerichtet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