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D-5077/2011 vom 8. Juni 2012</w:t>
      </w:r>
    </w:p>
    <w:p>
      <w:r>
        <w:t>Bundesverwaltungsgericht, 2012-06-08, DE</w:t>
      </w:r>
    </w:p>
    <w:p>
      <w:r>
        <w:rPr>
          <w:b/>
        </w:rPr>
        <w:t xml:space="preserve">Quelle: </w:t>
      </w:r>
      <w:r>
        <w:t>https://mcp.opencaselaw.ch/entscheid/bvger_D-5077_2011</w:t>
      </w:r>
    </w:p>
    <w:p>
      <w:r>
        <w:t>FR: TAF D-5077/2011 du 8 juin 2012</w:t>
      </w:r>
    </w:p>
    <w:p>
      <w:r>
        <w:t>IT: TAF D-5077/2011 del 8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 Rückschein vorliegt. Da die Verfügung des BFM am 16. August 2011 an die Mutter des Beschwerdeführers versendet und dagegen am 14. September Beschwerde erhoben wurde, kann ohne Weiteres von der Fristwahrung ausgegangen werden.</w:t>
      </w:r>
    </w:p>
    <w:p>
      <w:r>
        <w:rPr>
          <w:b/>
        </w:rPr>
        <w:t>E. 1.4</w:t>
      </w:r>
    </w:p>
    <w:p>
      <w:r>
        <w:t>Die Beschwerde ist zumindest insoweit auch formgerecht, als sie Begehren, Begründung und Unterschrift des Vertreters enthält. Auf die Beschwerde ist daher insofern einzutreten (Art. 105 und Art. 108 Abs. 1 AsylG, Art. 52 VwVG). Vorliegend stellen sich indessen nicht nur Fragen hinsichtlich der Vertretungsbefugnis der rubrizierten Vertreterin, sondern bereits hinsichtlich der Vertretungszugänglichkeit eines Asylgesuchs und der Beschwerdelegitimation überhaupt. Mithin ist im Sinne der Legitimationsvoraussetzungen (Art. 48 Abs. 1 VwVG) zu klären, ob der Beschwerdeführer am Verfahren vor der Vorinstanz überhaupt teilgenommen hat, entsprechend durch die angefochtene Verfügung besonders berührt ist und somit ein schutzwürdiges Interesse an deren Aufhebung beziehungsweise Änderung haben kann. Diese Fragen werden nachstehend in E. 5. zu erörtern sein.</w:t>
      </w:r>
    </w:p>
    <w:p>
      <w:r>
        <w:rPr>
          <w:b/>
        </w:rPr>
        <w:t>E. 2</w:t>
      </w:r>
    </w:p>
    <w:p>
      <w:r>
        <w:t>Die Rechtsvertreterin beantragte in der Beschwerde die Aufhebung der (gesamten) vorinstanzlichen Verfügung. Aus der Begründung geht hingegen hervor, dass sich die Beschwerde lediglich gegen die Verweigerung der Einreisebewilligung sowie die Ablehnung des Asylgesuches richtet. Die Verfügung des BFM vom 16. August 2011 ist, soweit sie die Frage des Familiennachzuges betrifft (Ziffer 3 des Dispositivs der vorinstanzlichen Verfügung), in Rechtskraft erwachsen und damit nicht mehr zu überprüfen.</w:t>
      </w:r>
    </w:p>
    <w:p>
      <w:r>
        <w:rPr>
          <w:b/>
        </w:rPr>
        <w:t>E. 3</w:t>
      </w:r>
    </w:p>
    <w:p>
      <w:r>
        <w:t>Das Bundesverwaltungsgericht überprüft die angefochtene Verfügung auf Verletzung von Bundesrecht, unrichtige oder unvollständige Feststellung des rechtserheblichen Sachverhaltes und Unangemessenheit hin (Art. 106 Abs. 1 AsylG).</w:t>
      </w:r>
    </w:p>
    <w:p>
      <w:r>
        <w:rPr>
          <w:b/>
        </w:rPr>
        <w:t>E. 4</w:t>
      </w:r>
    </w:p>
    <w:p>
      <w:r>
        <w:t>Der Umstand, dass das Asylgesuch nicht entsprechend dem Wortlaut in Art. 19 Abs. 1 und Art. 20 AsylG bei einer schweizerischen Vertretung, sondern direkt beim BFM eingereicht wurde, ist nicht massgebend (vgl. in dieser Hinsicht die weiterhin Geltung beanspruchende Praxis der [vormaligen] Schweizerischen Asylrekurskommission in Entscheidungen und Mitteilungen der Schweizerischen Asylrekurskommission [EMARK] 1997 Nr. 15 E. 2b, die sich zwar auf den damaligen Art. 13a AsylG bezieht, jedoch auch nach geltendem Asylgesetz massgeblich bleibt). Insofern wurde daher das vorliegende Asylgesuch zu Recht als Asylgesuch aus dem Ausland anhand genommen.</w:t>
      </w:r>
    </w:p>
    <w:p>
      <w:r>
        <w:rPr>
          <w:b/>
        </w:rPr>
        <w:t>E. 5.1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Verhältnis zwischen der Mutter und dem Beschwerdeführer handelt es sich um eine gewillkürte Vertretung, zumal der Beschwerdeführer bereits volljährig ist und somit kein gesetzliches Vertretungsrecht mehr vorliegt. Die gewillkürte Vertretung einer Partei durch einen frei bestimmten Dritten ist unter Vorbehalt des Erfordernisses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weiterführenden Hinweisen).</w:t>
      </w:r>
    </w:p>
    <w:p>
      <w:r>
        <w:rPr>
          <w:b/>
        </w:rPr>
        <w:t>E. 5.2</w:t>
      </w:r>
    </w:p>
    <w:p>
      <w:r>
        <w:t>Bei der Frage über die Vertretungsbefugnis geht es um die Prüfung der Verfahrensvoraussetzungen. Konkret geht es um die grundsätzliche Frage, ob das Stellen eines Asylgesuchs vertretungszugänglich ist.</w:t>
      </w:r>
    </w:p>
    <w:p>
      <w:r>
        <w:rPr>
          <w:b/>
        </w:rPr>
        <w:t>E. 5.3.1</w:t>
      </w:r>
    </w:p>
    <w:p>
      <w:r>
        <w:t>Das Gericht hält vorab fest, dass der Beschwerdeführer im ganzen bisherigen Verfahren und insbesondere im gesamten erstinstanzlichen Verfahren nie persönlich aufgetreten ist, sei dies beispielsweise als Verfasser seines eigenen Asylgesuchs, als Direktbeteiligter an einer Befragung oder Anhörung oder in anderer Weise. Vielmehr haben stets die Mutter oder die Rechtsvertreterin für ihn gehandelt. Unter den gegebenen Umständen sind erhebliche Zweifel angebracht, ob der Beschwerdeführer überhaupt jemals als Asylgesuchsteller an die schweizerischen Behörden herangetreten ist und - bejahendenfalls - ob die schriftlich geltend gemachten Verfolgungsgründe tatsächlich die seinigen sind. Entsprechende Zweifel sind daher auch unter dem Aspekt eines potenziellen Missbrauchs des Asylrechts angebracht.</w:t>
      </w:r>
    </w:p>
    <w:p>
      <w:r>
        <w:rPr>
          <w:b/>
        </w:rPr>
        <w:t>E. 5.3.2</w:t>
      </w:r>
    </w:p>
    <w:p>
      <w:r>
        <w:t>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(so im Grundsatz auch die Urteile des Bundesverwaltungsgerichts D-239/2010 vom 4. Juni 2010 E. 3, E-1147/2010 vom 5. März 2010 S. 6 f., D-591/2009 vom 24. Februar 2009 E. 4 oder E-490/2009 vom 23. Februar 2009 S. 5 f.). Fehlt ein solcher, ist eine Mangelbehebung jedoch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(vgl. das zur Publikation vorgesehene Urteil BVGE E-3162/11 vom 6. Dezember 2011).</w:t>
      </w:r>
    </w:p>
    <w:p>
      <w:r>
        <w:rPr>
          <w:b/>
        </w:rPr>
        <w:t>E. 5.3.3</w:t>
      </w:r>
    </w:p>
    <w:p>
      <w:r>
        <w:t>Im vorliegenden Fall steht aufgrund der Aktenlage fest, dass der Beschwerdeführer im ganzen bisherigen Verfahren und insbesondere im gesamten erstinstanzlichen Verfahren nie in irgendeiner Weise persönlich vor einer schweizerischen Asylbehörde im In- oder Ausland aufgetreten ist. Insbesondere liegt keine schriftliche Erklärung des Beschwerdeführers selbst vor, in der er - unter Darlegung seiner Asylgründe - den Willen zum Ausdruck bringt, in der Schweiz um Asyl nachsuchen zu wollen. Somit steht für das Bundesverwaltungsgericht aufgrund der sich präsentierenden Aktenlage nicht fest, ob er überhaupt ein entsprechendes Asylgesuch stellen wollte und will. Das blosse Einreichen einer Vollmacht (Bevollmächtigung seiner Mutter) kann den Anforderungen an ein persönliches in Erscheinung treten vorliegend nicht genügen. Zudem bleibt unklar, ob er selber als Gesuchsteller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des festgestellten Mangels wieder aufzunehmen und gegebenenfalls einer neuen Entscheidung zuzuführen gedenkt, oder ob es der Mutter des Beschwerdeführers eine Mitteilung betreffend die Nichtanhandnahme des Asylgesuchs infolge fehlender höchstpersönlicher Einreichung zu machen hat.</w:t>
      </w:r>
    </w:p>
    <w:p>
      <w:r>
        <w:rPr>
          <w:b/>
        </w:rPr>
        <w:t>E. 5.4</w:t>
      </w:r>
    </w:p>
    <w:p>
      <w:r>
        <w:t>Zusammenfassend ist festzustellen, dass das Bundesamt die Höchstpersönlichkeit des Rechts zum Stellen eines Asylgesuchs verkennt und mithin eine Verfügung erlassen hat, die mangels zureichender Prüfung der Verfahrensvoraussetzungen nicht hätte ergehen dürfen.</w:t>
      </w:r>
    </w:p>
    <w:p>
      <w:r>
        <w:rPr>
          <w:b/>
        </w:rPr>
        <w:t>E. 6</w:t>
      </w:r>
    </w:p>
    <w:p>
      <w:r>
        <w:t>Aus diesen Erwägungen ergibt sich, dass die angefochtene Verfügung Bundesrecht verletzt sowie den rechtserheblichen Sachverhalt unrichtig und unvollständig feststellt (Art. 106 AsylG). Die Dispositivziffern 1 und 2 der angefochtenen Verfügung sind daher von Amtes wegen aufzuheben. Die Sache geht zurück an das BFM zur Wiederaufnahme oder allenfalls Beendigung des erstinstanzlichen Asylverfahrens.</w:t>
      </w:r>
    </w:p>
    <w:p>
      <w:r>
        <w:rPr>
          <w:b/>
        </w:rPr>
        <w:t>E. 7.1</w:t>
      </w:r>
    </w:p>
    <w:p>
      <w:r>
        <w:t>Bei diesem Ausgang des Verfahrens sind weder dem Beschwerdeführer noch dem BFM Kosten aufzuerlegen (Art. 63 Abs. 1 und 2 VwVG). Das Gesuch um Gewährung der unentgeltlichen Rechtspflege nach Art. 65 Abs. 1 VwVG ist damit gegenstandslos geworden.</w:t>
      </w:r>
    </w:p>
    <w:p>
      <w:r>
        <w:rPr>
          <w:b/>
        </w:rPr>
        <w:t>E. 7.2</w:t>
      </w:r>
    </w:p>
    <w:p>
      <w:r>
        <w:t>Obsiegende Parteien haben Anspruch auf eine Parteientschädigung für die ihnen erwachsenen notwendigen und verhältnismässig hohe Kosten (Art. 64 Abs. 1 VwVG). Zwar ist die beschwerdeführende Partei mit ihrem Antrag betreffend teilweiser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