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D-5077/2006 vom 6. August 2008</w:t>
      </w:r>
    </w:p>
    <w:p>
      <w:r>
        <w:t>Bundesverwaltungsgericht, 2008-08-06, DE</w:t>
      </w:r>
    </w:p>
    <w:p>
      <w:r>
        <w:rPr>
          <w:b/>
        </w:rPr>
        <w:t xml:space="preserve">Quelle: </w:t>
      </w:r>
      <w:r>
        <w:t>https://mcp.opencaselaw.ch/entscheid/bvger_D-5077_2006</w:t>
      </w:r>
    </w:p>
    <w:p>
      <w:r>
        <w:t>FR: TAF D-5077/2006 du 6 août 2008</w:t>
      </w:r>
    </w:p>
    <w:p>
      <w:r>
        <w:t>IT: TAF D-5077/2006 del 6 agosto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im Sinne von Art. 32 VGG vorliegt. Das BFM gehört zu den Behörden nach Art. 33 VGG und ist daher eine Vorinstanz des Bundesverwaltungsgerichts. Das Bundesverwaltungsgericht entscheidet in diesem Bereich endgültig (Art. 105 des Asylgesetzes vom 26. Juni 1998 [AsylG, SR 142.31]; Art. 83 Bst. d Ziff. 1 des Bundesgerichtsgesetzes vom 17. Juni 2005 [BGG, SR 173.110]). Nachdem nach Lehre und Rechtsprechung Wiedererwägungsentscheide grundsätzlich wie die ursprüngliche Verfügung auf dem ordentlichen Rechtsmittelweg weitergezogen werden können, ist das Bundesverwaltungsgericht auch zuständig für die Beurteilung der vorliegenden Wiedererwägungsbeschwerde.</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sowie 52 VwVG). Auf die Beschwerde ist - unter Vorbehalt der E. 5.2 -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5.1</w:t>
      </w:r>
    </w:p>
    <w:p>
      <w:r>
        <w:t>Die Vorinstanz hat den Anspruch auf Behandlung als Wiedererwägungsgesuch vorliegend nicht in Abrede gestellt, und sie ist materiell auf das Gesuch eingetreten. Damit hat das Bundesverwaltungsgericht zu prüfen, ob die Vorinstanz das Gesuch zu Recht abgewiesen hat.</w:t>
      </w:r>
    </w:p>
    <w:p>
      <w:r>
        <w:rPr>
          <w:b/>
        </w:rPr>
        <w:t>E. 5.2</w:t>
      </w:r>
    </w:p>
    <w:p>
      <w:r>
        <w:t>Mit der Vorinstanz ist davon auszugehen, dass der Beschwerdeführer mit seinen Vorbringen im Wiedererwägungsverfahren sinngemäss die Anpassung der ursprünglichen Verfügung im Wegweisungsvollzugspunkt geltend machte. Dem Beschwerdeführer den "Flüchtlingsstatus" beziehungsweise den "Status eines Asylanten" zu erteilen, wie der Beschwerdeführer und sein Rechtsvertreter in ihren Eingaben vom 12. beziehungsweise 27. November 2006 beantragen, kommt somit aufgrund der auf den Wegweisungsvollzugspunkt beschränkten Thematik des Wiedererwägungsgesuches nicht in Betracht. Auf die diesbezüglichen Begehren ist demnach nicht einzutreten.</w:t>
      </w:r>
    </w:p>
    <w:p>
      <w:r>
        <w:rPr>
          <w:b/>
        </w:rPr>
        <w:t>E. 5.3</w:t>
      </w:r>
    </w:p>
    <w:p>
      <w:r>
        <w:t>Der Beschwerdeführer macht im Rechtsmittelverfahren geltend, er befürchte, dass ihm infolge der mehrjährigen Landesabwesenheit die indischen Behörden sowohl die Aufenthaltsbewilligung als auch das "Identity Certificate" aberkennen könnten. Der Rechtsvertreter führt dazu aus, es sei gemäss Informationen tibetischer Kreise davon auszugehen, dass die indische Botschaft in Bern bis anhin in allen Fällen die Neuausstellung oder Verlängerung abgelaufener oder abhandengekommener "Identity Certificates" verweigert habe. Ohne Aufenthaltsbewilligung in Indien müsse der Beschwerdeführer mit einer Abschiebung nach China rechnen, wo er mit völker- und menschenrechtswidrigen Repressalien konfrontiert wäre.</w:t>
      </w:r>
    </w:p>
    <w:p>
      <w:r>
        <w:rPr>
          <w:b/>
        </w:rPr>
        <w:t>E. 5.4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Zum einen ist anzumerken,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Zum andern wies die Vorinstanz zutreffend darauf hin, dass der Beschwerdeführer als tibetischer Flüchtling in Indien vor einer Abschiebung in die Volksrepublik China geschützt ist (vgl. zum Aufenthaltsrecht in Indien auch nachfolgend Ziff. 5.4.3). Eine Rückkehr des Beschwerdeführers nach Indien ist demnach unter dem Aspekt von Art. 5 AsylG rechtmässig. Sodann ergeben sich weder aus den Aussagen des Beschwerdeführers noch aus den Akten Anhaltspunkte dafür, dass er für den Fall einer Ausschaffung nach Indien dort mit beachtlicher Wahrscheinlichkeit einer nach Art. 3 EMRK oder Art. 1 FoK verbotenen Strafe oder Behandlung ausgesetzt wäre. Auch die allgemeine Menschenrechtssituation in Indien lässt den Wegweisungsvollzug zum heutigen Zeitpunkt klarerweise nicht als unzulässig erscheinen. Nach dem Gesagten ist der Vollzug der Wegweisung sowohl im Sinne der asyl- als auch der völkerrechtlichen Bestimmungen zulässig.</w:t>
      </w:r>
    </w:p>
    <w:p>
      <w:r>
        <w:rPr>
          <w:b/>
        </w:rPr>
        <w:t>E. 5.4.2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Der Beschwerdeführer macht nicht geltend, eine Rückkehr nach Indien sei für ihn aus generellen oder individuellen Gründen nicht zumutbar. Solche Umstände sind aus den Akten auch nicht ersichtlich. Vielmehr ist unter Hinweis auf die zutreffenden Ausführungen der Vorinstanz davon auszugehen, der Vollzug der Wegweisung nach Indien sei zumutbar.</w:t>
      </w:r>
    </w:p>
    <w:p>
      <w:r>
        <w:rPr>
          <w:b/>
        </w:rPr>
        <w:t>E. 5.4.3</w:t>
      </w:r>
    </w:p>
    <w:p>
      <w:r>
        <w:t>Gemäss Art. 8 Abs. 4 AsylG sind die betroffenen Personen nach Vorliegen eines vollziehbaren Wegweisungsentscheides verpflichtet, bei der Beschaffung gültiger Reisepapiere mitzuwirken. Das Bundesamt hielt fest, gemäss seinen Erkenntnissen lasse sich einerseits die Aufenthaltsbewilligung von Tibetern in Indien problemlos verlängern. Anderseits verfüge der Beschwerdeführer über ein "Identity Certificate", dessen Gültigkeit üblicherweise zehn Jahre betrage und das bei Ablauf der Gültigkeit auch bei den indischen Behörden in der Schweiz verlängert werden könne. Die dagegen gerichteten Vorbringen des Beschwerdeführers, der Wegweisungsvollzug sei nicht möglich, weil die indische Botschaft in der Schweiz ihm keine Dokumente ausstelle, vermögen die vorinstanzlichen Ausführungen - wie schon in der Zwischenverfügung vom 30. November 2006 erwähnt - nicht zu entkräften. Es versteht sich von selbst, dass die Beschaffung gültiger Reisepapiere beziehungsweise die Mitwirkung dazu aufgrund der tatsächlich vorliegenden Umstände zu geschehen hat. Davon kann angesichts der Schilderung des Rechtsvertreters über den Ablauf des Vorsprechens bei der indischen Botschaft in Bern keine Rede sein. Weder aus der Aktennotiz noch aus dem Schreiben des Rechtsvertreters an die indische Botschaft geht hervor, dass die indische Vertretung in adäquater Weise über die Situation des Beschwerdeführers, dass dieser nämlich bereits über eine Aufenthaltsbewilligung sowie ein "Identity Certificate" verfügte, informiert wurde. Entsprechend nimmt denn auch das Antwortschreiben der indischen Vertretung keinerlei Bezug auf den Beschwerdeführer und dessen Situation. Aus dem Umstand, dass die Frage nach einer allfälligen Verlängerung einer früheren Aufenthaltsbewilligung anlässlich des Vorsprechens nicht gestellt werden konnte, kann nicht geschlossen werden, eine frühere allenfalls abgelaufende Aufenthaltsbewilligung könne nicht verlängert werden. Damit gelingt es dem Beschwerdeführer nicht, die Erwägungen der Vorinstanz zu widerlegen. Vielmehr ist der Wegweisungsvollzug nach Indien als möglich zu erachten (Art. 83 Abs. 2 AuG).</w:t>
      </w:r>
    </w:p>
    <w:p>
      <w:r>
        <w:rPr>
          <w:b/>
        </w:rPr>
        <w:t>E. 6</w:t>
      </w:r>
    </w:p>
    <w:p>
      <w:r>
        <w:t>Aus den vorstehenden Erwägungen ergibt sich, dass das BFM zu Recht davon abgesehen hat, seine rechtskräftige Verfügung vom 11. Februar 2004 in Wiedererwägung zu ziehen. Das Bundesamt hat das Wiedererwägungsgesuch des Beschwerdeführers demnach zu Recht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8</w:t>
      </w:r>
    </w:p>
    <w:p>
      <w:r>
        <w:t>Bei diesem Ausgang des Verfahrens sind die Kosten dem Beschwerdeführer aufzuerlegen (Art. 63 Abs. 1 und 5 VwVG), auf insgesamt Fr. 1'200.-- festzusetzen (Art. 1-3 des Reglements vom 21. Februar 2008 über die Kosten und Entschädigungen vor dem Bundesverwaltungsgericht [VGKE, SR 173.320.2]) und mit dem am 4. Dezember 2006 in gleicher Höhe geleisteten 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