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D-5074/2011 vom 20. September 2011</w:t>
      </w:r>
    </w:p>
    <w:p>
      <w:r>
        <w:t>Bundesverwaltungsgericht, 2011-09-20, DE</w:t>
      </w:r>
    </w:p>
    <w:p>
      <w:r>
        <w:rPr>
          <w:b/>
        </w:rPr>
        <w:t xml:space="preserve">Quelle: </w:t>
      </w:r>
      <w:r>
        <w:t>https://mcp.opencaselaw.ch/entscheid/bvger_D-5074_2011</w:t>
      </w:r>
    </w:p>
    <w:p>
      <w:r>
        <w:t>FR: TAF D-5074/2011 du 20 septembre 2011</w:t>
      </w:r>
    </w:p>
    <w:p>
      <w:r>
        <w:t>IT: TAF D-5074/2011 del 20 settembre 2011</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 haben am Verfahren durch die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Demgegenüber hat die Vorinstanz die Frage der Wegweisung sowie deren Vollzugs materiell geprüft, weshalb dem Bundesverwaltungsgericht einzig diesbezüglich volle Kognition zukommt.</w:t>
      </w:r>
    </w:p>
    <w:p>
      <w:r>
        <w:rPr>
          <w:b/>
        </w:rPr>
        <w:t>E. 2.2</w:t>
      </w:r>
    </w:p>
    <w:p>
      <w:r>
        <w:t>Nach Art. 34 Abs. 2 Bst. a AsylG wird auf ein Asylgesuch in der Regel nicht eingetreten, wenn Asylsuchende in einen sicheren Drittstaat nach Art. 6a Abs. 2 Bst. b AsylG zurückkehren können, in welchem sie sich vorher aufgehalten haben. Gemäss Art. 6a Abs. 2 Bst. b AsylG bezeichnet der Bundesrat Staaten als sichere Drittstaaten, in denen nach seinen Feststellungen effektiver Schutz vor Rückschiebung im Sinne von Art. 5 Abs. 1 AsylG besteht.</w:t>
      </w:r>
    </w:p>
    <w:p>
      <w:r>
        <w:rPr>
          <w:b/>
        </w:rPr>
        <w:t>E. 2.3</w:t>
      </w:r>
    </w:p>
    <w:p>
      <w:r>
        <w:t>Nach Art. 34 Abs. 3 AsylG findet Absatz 2 Bst. a der nämlichen gesetzlichen Bestimmung keine Anwendung, wenn Personen, zu denen die asylsuchende Person enge Beziehungen hat, oder nahe Angehörige in der Schweiz leben (Bst. a); wenn die asylsuchende Person offensichtlich die Flüchtlingseigenschaft nach Art. 3 AsylG erfüllt (Bst. b); wenn Hinweise darauf bestehen, dass im Drittstaat kein effektiver Schutz vor Rückschiebung nach Art. 5 Abs. 1 AsylG besteht.</w:t>
      </w:r>
    </w:p>
    <w:p>
      <w:r>
        <w:rPr>
          <w:b/>
        </w:rPr>
        <w:t>E. 3.1</w:t>
      </w:r>
    </w:p>
    <w:p>
      <w:r>
        <w:t>Vorab ist in casu auf das Grundsatzurteil des Bundesverwaltungsgerichts BVGE 2010/56 E. 5.4. und 5.5. zu verweisen, worin das Gericht zur Erkenntnis gelangt, dass die Ausnahmeklausel von Art. 34 Abs. 3 Bst. b AsylG nicht greift, wenn die asylsuchende Person bereits in einem Drittstaat als Flüchtling anerkannt ist, dort asylrechtlichen oder vergleichbaren effektiven Schutz (im Sinne des Non-Refoulement-Gebots) geniesst und dorthin zurückkehren kann.</w:t>
      </w:r>
    </w:p>
    <w:p>
      <w:r>
        <w:rPr>
          <w:b/>
        </w:rPr>
        <w:t>E. 3.2</w:t>
      </w:r>
    </w:p>
    <w:p>
      <w:r>
        <w:t>Italien (und ebenso alle anderen EU- und EFTA- Staaten) sind am 14. Dezember 2007 vom Bundesrat als sichere Drittstaaten bezeichnet worden. Die Beschwerdeführer können auch nach Italien als sicheren Drittstaat zurückkehren, da dessen Behörden am 14. März 2011 gegenüber der Schweiz die Rückübernahme zugesichert haben. Alsdann ist unbestritten, dass die Beschwerdeführer in Italien als Flüchtlinge anerkannt worden sind. Ferner liegen weder nähere Anhaltspunkte vor noch liefern die Beschwerdeführer entsprechende konkrete, ihre Person betreffende Hinweise für die Annahme, dass ihnen im Falle einer Rückkehr nach Italien eine Verletzung des Non-Refoulement-Gebots droht, was für die Anwendung von Art. 34 Abs. 3 Bst. c AsylG ausreichen würde. Auch leben in der Schweiz keine nahen Angehörigen der Beschwerdeführer oder andere Personen, zu denen sie eine enge Beziehung hätten. Mithin liegt keiner der in Art. 34 Abs. 3 AsylG genannten Gründe vor, welcher die Anwendung von Art. 34 Abs. 2 Bst. a AsylG im vorliegenden Fall ausschliessen würde.</w:t>
      </w:r>
    </w:p>
    <w:p>
      <w:r>
        <w:rPr>
          <w:b/>
        </w:rPr>
        <w:t>E. 3.3</w:t>
      </w:r>
    </w:p>
    <w:p>
      <w:r>
        <w:t>Zusammenfassend ergibt sich, dass die Vorinstanz zu Recht in Anwendung von Art. 34 Abs. 2 Bst. a AsylG auf die erneuten Asylgesuche der Beschwerdeführer nicht eingetreten ist. Bei dieser Sachlage besteht kein Anlass zur Rückweisung der Sache an das BFM zwecks neuen Entscheids, weshalb der diesbezügliche Antrag abzuweisen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 verfügen weder über eine ausländerrechtliche Aufenthaltsbewilligung noch über einen Anspruch auf Erteilung einer solchen. Die Wegweisung wurde demnach zu Recht angeordnet (Art. 44 Abs. 1 AsylG; vgl. BVGE 2009/50 E. 9, EMARK 2001 Nr.21).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Im Übrigen gilt zu erwähnen, dass es im vorliegenden Fall einzig um den Vollzug der Wegweisung nach Italien (Drittstaat) geht, nicht aber um einen solchen in den Heimatstaat der Beschwerdeführer.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In casu erweist sich der Vollzug der Wegweisung in Beachtung der massgebenden völker- und landesrechtlichen Bestimmungen (insbesondere auch Art. 3 EMRK) zulässig, da die Beschwerdeführer in Italien offensichtlich nicht an Leib, Leben oder Freiheit gefährdet sind oder eine menschenrechtswidrige Behandlung zu befürchten haben und sie dort - wie bereits oben erkannt - Schutz vor Rückschiebung im Sinne von Art. 5 Abs. 1 AsylG finden.</w:t>
      </w:r>
    </w:p>
    <w:p>
      <w:r>
        <w:rPr>
          <w:b/>
        </w:rPr>
        <w:t>E. 5.3</w:t>
      </w:r>
    </w:p>
    <w:p>
      <w:r>
        <w:t>Gemäss Art. 83 Abs. 4 AuG kann der Vollzug für Ausländerinnen und Ausländer unzumutbar sein, wenn sie im Drittstaat konkret gefährdet sind. Weder die in Italien herrschende allgemeine Lage noch sonstige Gründe sprechen gegen die Zumutbarkeit eines Wegweisungsvollzuges der Beschwerdeführer dorthin. Eine Feststellung der Unzumutbarkeit bedarf ferner der begründeten Annahme einer konkreten und ernsthaften Gefährdung, mithin einer eigentlichen Notlage. Mit den Ausführungen der Beschwerdeführer in ihrer Rechtsmitteleingabe und dem darin erwähnten Hinweis, dass es sich bei ihnen um "verletzliche Personen" handle und die Aufnahmebedingungen sowie die Lebensumstände in Italien als ungenügend erachtet werden müssten, wird nicht schlüssig dargetan, dass der bloss tiefere Sozial- und Betreuungsstandard für Schutzsuchende in Italien gegenüber der Schweiz zur Feststellung der Unzumutbarkeit des Wegweisungsvollzugs in dieses Land führen kann. Unter anderem kann zu diesem Aspekt auch auf die Ausführungen im ersten Beschwerdeurteil D-2300/2011 vom 4. Mai 2011 verwiesen werden. Insbesondere wurde darin der Einwand, wonach es sich bei ihnen um "verletzliche Personen" handle, in einlässlicher Weise geprüft und gewürdigt (vgl. a.a.O. E. 7.4.4), weshalb zur Vermeidung von Wiederholungen vollumfänglich auf diese Erwägungen zu verweisen ist. Überdies ist der Einwand, wonach sie nach ihrer Ankunft im Flughafen in Rom von keiner Person erwartet worden seien, in dieser Form unzutreffend. So gab die Beschwerdeführerin anlässlich der direkten Anhörung an, sie seien nach ihrer Rückkehr von der Polizei in Empfang genommen worden und man habe ihr die Fingerabdrücke genommen (vgl. act. B9/9, S. 4). Es wäre ihr möglich und zumutbar gewesen, bei dieser Gelegenheit die Polizei oder allenfalls später die zuständige behördliche Stelle um Hilfe bei ihren weiteren Bemühungen (Wohnungssuche, Sozialhilfe, etc.) zu ersuchen. Dass sie diesbezüglich untätig geblieben ist (vgl. act. B9/9, S. 4 unten), kann jedenfalls nicht den italienischen Behörden angelastet werden. Nach dem Gesagten erweist sich der Vollzug der Wegweisung somit auch als zumutbar.</w:t>
      </w:r>
    </w:p>
    <w:p>
      <w:r>
        <w:rPr>
          <w:b/>
        </w:rPr>
        <w:t>E. 5.4</w:t>
      </w:r>
    </w:p>
    <w:p>
      <w:r>
        <w:t>Der Vollzug der Wegweisung der Beschwerdeführer nach Italien ist schliesslich möglich, da keine konkreten Vollzugshindernisse ersichtlich sind (Art. 83 Abs. 2 AuG) und die italienischen Behörden die Rückübernahme zugesichert haben.</w:t>
      </w:r>
    </w:p>
    <w:p>
      <w:r>
        <w:rPr>
          <w:b/>
        </w:rPr>
        <w:t>E. 5.5</w:t>
      </w:r>
    </w:p>
    <w:p>
      <w:r>
        <w:t>Zusammenfassend hat die Vorinstanz den Wegweisungsvollzug zu Recht als zulässig, zumutbar und möglich erachtet. Auch diesbezüglich besteht kein Grund für eine Rückweisung der Sache an die Vorinstanz, weshalb der entsprechende Antrag abzuweisen ist.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Mit dem Entscheid in der Hauptsache ist das Gesuch um Verzicht auf die Erhebung eines Kostenvorschusses gegenstandslos geworden.</w:t>
      </w:r>
    </w:p>
    <w:p>
      <w:r>
        <w:rPr>
          <w:b/>
        </w:rPr>
        <w:t>E. 7.2</w:t>
      </w:r>
    </w:p>
    <w:p>
      <w:r>
        <w:t>Die Beschwerdeführer ersuchen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in casu als aussichtslos zu erachten, weshalb das Gesuch um Gewährung der unentgeltlichen Prozessführung im Sinne von Art. 65 Abs. 1 VwVG - auch bei ausgewiesener Bedürftigkeit - abzuweisen ist.</w:t>
      </w:r>
    </w:p>
    <w:p>
      <w:r>
        <w:rPr>
          <w:b/>
        </w:rPr>
        <w:t>E. 7.3</w:t>
      </w:r>
    </w:p>
    <w:p>
      <w:r>
        <w:t>Bei diesem Ausgang des Verfahrens sind die Kosten von Fr. 600.- (Art. 16 Abs. 1 Bst. a VGG i.V.m. Art. 1-3 des Reglements vom 21. Februar 2008 über die Kosten und Entschädigungen vor dem Bundesverwaltungsgericht [VGKE, SR 173.320.2] den Beschwerdeführern aufzuerlegen (Art. 37 VGG i.V.m.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