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D-5071/2024 vom 26. August 2024</w:t>
      </w:r>
    </w:p>
    <w:p>
      <w:r>
        <w:t>Bundesverwaltungsgericht, 2024-08-26, DE</w:t>
      </w:r>
    </w:p>
    <w:p>
      <w:r>
        <w:rPr>
          <w:b/>
        </w:rPr>
        <w:t xml:space="preserve">Quelle: </w:t>
      </w:r>
      <w:r>
        <w:t>https://mcp.opencaselaw.ch/entscheid/bvger_D-5071_2024</w:t>
      </w:r>
    </w:p>
    <w:p>
      <w:r>
        <w:t>FR: TAF D-5071/2024 du 26 août 2024</w:t>
      </w:r>
    </w:p>
    <w:p>
      <w:r>
        <w:t>IT: TAF D-5071/2024 del 26 agosto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ist als Verfügungsadressat zur Einreichung der Be- schwerde legitimiert. Auf die Beschwerde ist einzutreten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w:t>
      </w:r>
    </w:p>
    <w:p>
      <w:r>
        <w:t>Der Beschwerdeführer erhob sinngemäss die formelle Rüge der Verlet- zung der rechtsgenüglichen Sachverhaltsfeststellung. Eine diesbezügli- che, konkrete Begründung geht aus der Beschwerde indes nicht hervor. Sollte der Vorwurf, die Vorinstanz «verkenne die Gefahrenlage» des Be- schwerdeführers als formelle Rüge gemeint sein, handelt es sich dabei um eine Frage der rechtlichen Würdigung beziehungsweise sie beschlägt die materielle Entscheidung: die Beurteilung der Vorinstanz beruht vorliegend weder auf einer unrichtigen noch unvollständigen Sachverhaltsfeststellung. So ergibt sich auch aus nachstehenden Erwägungen, dass die Vorinstanz den vorliegenden Sachverhalt insgesamt rechtsgenüglich abgeklärt und</w:t>
      </w:r>
    </w:p>
    <w:p>
      <w:r>
        <w:t>D-5071/2024 Seite 5 sich hinreichend differenziert mit den zentralen Vorbringen des Beschwer- deführers auseinandergesetzt hat. Es ist weder aus den Akten noch ange- sichts der Angaben in der Beschwerde eine Notwendigkeit weiterer Abklä- rungen ersichtlich.</w:t>
      </w:r>
    </w:p>
    <w:p>
      <w:r>
        <w:t>Demnach besteht keine Veranlassung, die Verfügung aus formellen Grün- den aufzuheben und die Sache an die Vorinstanz zurückzuweisen. Das entsprechende Subeventualbegehren ist abzuweisen, soweit darauf einzu- treten ist.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t>Wer die Flüchtlingseigenschaft geltend macht, muss sie beweisen oder zu- mindest glaubhaft machen (Art. 7 AsylG).</w:t>
      </w:r>
    </w:p>
    <w:p>
      <w:r>
        <w:rPr>
          <w:b/>
        </w:rPr>
        <w:t>E. 6.1</w:t>
      </w:r>
    </w:p>
    <w:p>
      <w:r>
        <w:t>Die Vorinstanz begründete ihren ablehnenden Entscheid mit der feh- lenden Asylrelevanz der Vorbringen des Beschwerdeführers und verzich- tete auf die Prüfung von deren Glaubhaftigkeit. So handle es sich bei den geltend gemachten Vorbringen um eine Verfolgung durch Dritte (PKK-An- hänger). Derartige Drohungen und Übergriffe würden von den örtlichen Si- cherheitsbehörden in der Irakischen Region Kurdistan (IRK) weder unter- stützt noch gebilligt. Ereignisse wie die von ihm beschriebenen würden von den zuständigen Strafverfolgungsbehörden im Rahmen ihrer Möglichkei- ten verfolgt und geahndet. Es sei alsdann betroffenen Personen möglich und zumutbar, mit rechtlichen Mitteln und gegebenenfalls mit Hilfe eines Anwalts gegen Übergriffe vorzugehen. Gemäss Angaben des Beschwer- deführers sei er einzig und einmalig zu den örtlichen Asayesh-Kräften ge- gangen. Die hauptbedrohende Person sei konstant auf dem Ermittlungs- schirm des Asayesh und bereits mehrfach festgenommen worden. Die Schutzfähigkeit und der Schutzwille der lokalen Behörden würden nicht dadurch geschmälert, dass ihm kein Personenschutz zur Verfügung</w:t>
      </w:r>
    </w:p>
    <w:p>
      <w:r>
        <w:t>D-5071/2024 Seite 6 gestellt worden sei und keine Garantie für seine absolute Sicherheit habe abgegeben werden können, zumal dies in einem ähnlich gelagerten Fall auch in der Schweiz zu erwarten wäre. An der fehlenden Flüchtlingseigen- schaft vermöge die eingereichte Bestätigung der PDK nichts zu ändern. Insofern die Rechtsvertretung in ihrer Stellungnahme wiederhole, der Asayesh sei nicht in der Lage gewesen, den Beschwerdeführer rund um die Uhr vor allfälligen Angriffen zu schützen, könne nicht auf eine Schut- zunfähigkeit der zuständigen örtlichen Behörden geschlossen werden. Es seien keine Tatsachen oder Beweismittel vorgelegt worden, die eine Ände- rung des Standpunktes des SEM rechtfertigen würden.</w:t>
      </w:r>
    </w:p>
    <w:p>
      <w:r>
        <w:rPr>
          <w:b/>
        </w:rPr>
        <w:t>E. 6.2</w:t>
      </w:r>
    </w:p>
    <w:p>
      <w:r>
        <w:t>In der Beschwerde wurden hauptsächlich die bisherigen Asylvorbrin- gen in ausführlicher Wiederholung des Sachverhaltes abermals dargelegt und explizit vorgebracht, die Einschüchterungs- und Bedrohungshandlun- gen der PKK seien gezielte Rekrutierungsversuche aufgrund seiner Arbeit als Küchenhilfe beim türkischen Geheimdienst, wie auch wegen seines Ge- schlechts, Wohnorts und seiner kurdischen Ethnie. Dies seien nicht abän- derbare, untrennbar mit seiner Person verbundene Merkmale. Die Zwangsrekrutierung sei als ernsthafter Nachteil, zumindest im Sinne eines unerträglichen psychischen Druckes, anzuerkennen. Da bei seinem Haus ein Störsender platziert worden sei, habe er eine Überwachung durch die PKK annehmen können, wobei eine mögliche geplante Entführung unge- klärt sei. Mit seiner Ausreise habe er sich politisch klar gegen die PKK po- sitioniert und damit politisch Stellung bezogen, wobei er sich bereits durch die Meldung der Vorfälle bei den Asayesh exponiert habe. Es könne nicht von einer Schutzfähigkeit der irakischen Behörden ausgegangen werden. Die Vorinstanz verkenne mithin die Gefahrenlage des Beschwerdeführers. Selbst wenn R.S. zeitweise inhaftiert gewesen sei, sei die PKK ein Netz- werk und gehe organisiert vor. So werde seine Familie seit dem Untertau- chen des Beschwerdeführers regelmässig belästigt.</w:t>
      </w:r>
    </w:p>
    <w:p>
      <w:r>
        <w:rPr>
          <w:b/>
        </w:rPr>
        <w:t>E. 7.1</w:t>
      </w:r>
    </w:p>
    <w:p>
      <w:r>
        <w:t>Die Vorinstanz hat die Vorbringen des Beschwerdeführers in der ange- fochtenen Verfügung mit überzeugender Begründung als nicht asylrelevant qualifiziert, die Flüchtlingseigenschaft verneint und das Asylgesuch abgewiesen. Zur Vermeidung von Wiederholungen kann auf die Erwägun- gen in der angefochtenen Verfügung sowie auf E. 6.1 hiervor verwiesen werden. Die Ausführungen auf Beschwerdeebene führen zu keiner anderen Betrachtungsweise. Auf die Entgegnungen in der Beschwerde ist im Folgenden näher einzugehen.</w:t>
      </w:r>
    </w:p>
    <w:p>
      <w:r>
        <w:t>D-5071/2024 Seite 7</w:t>
      </w:r>
    </w:p>
    <w:p>
      <w:r>
        <w:rPr>
          <w:b/>
        </w:rPr>
        <w:t>E. 7.2</w:t>
      </w:r>
    </w:p>
    <w:p>
      <w:r>
        <w:t>Der Beschwerdeführer macht konkret eine fehlende Schutzfähigkeit der irakischen Behörden betreffend eine Drittverfolgung durch PKK- Anhänger, eine politische Exponiertheit und eine Zugehörigkeit zu einer bestimmten sozialen Gruppe geltend (Beschwerde, Ziff. 18 bis 23).</w:t>
      </w:r>
    </w:p>
    <w:p>
      <w:r>
        <w:rPr>
          <w:b/>
        </w:rPr>
        <w:t>E. 7.3</w:t>
      </w:r>
    </w:p>
    <w:p>
      <w:r>
        <w:t>Eine Verfolgung durch nichtstaatliche Dritte ist aufgrund der Subsidiarität des flüchtlingsrechtlichen Schutzes nur dann flüchtlingsrechtlich relevant,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2008/4 E. 6.1-6.5; BVGE 2011/51 E. 7; EMARK 2006 Nr. 18). Dabei ist allerdings nicht eine faktische Garantie des Schutzgewährers für langfristigen individuellen Schutz der von nichtstaatlicher Verfolgung bedrohten Person zu verlangen: Keinem Staat gelingt es, die absolute Sicherheit aller seiner Bürger jederzeit und überall zu garantieren (vgl. BVGer Urteil D-5401/2022 vom 24. Januar 2024 E. 9.5; BVGE 2008/4 E. 5.2).</w:t>
      </w:r>
    </w:p>
    <w:p>
      <w:r>
        <w:rPr>
          <w:b/>
        </w:rPr>
        <w:t>E. 7.4</w:t>
      </w:r>
    </w:p>
    <w:p>
      <w:r>
        <w:t>Gemäss den Akten hat der Beschwerdeführer sich ein einziges Mal, nämlich nach dem Auffinden des Störsenders bei seinem Haus, an die örtlichen Asayesh-Kräfte gewandt, welche durchaus gewillt waren, ihn zu beschützen (A25/12, F40 ff.). So wurde der Bedroher R.S. bereits mehrfach verhaftet und gemäss eigenen Angaben des Beschwerdeführers erfolgte später, jedenfalls nach der Meldung des Vorfalls, ebenfalls eine Festnahme. Der Beschwerdeführer brachte nämlich eigens vor, bei seiner Ausreise «mitbekommen» zu haben, dass R.S. erneut verhaftet worden sei (A25/12, F48). Ein fehlender Schutzwille wird zu Recht nicht geltend gemacht. Die fehlende Möglichkeit einer Behörde, rund um die Uhr persönlichen Schutz gewährleisten zu können, lässt aber nicht ohne Weiteres auf eine fehlende Schutzfähigkeit schliessen. Dem Beschwerdeführer wäre zumutbar gewesen, sich wiederholt an die Asayesh oder auch an die Polizeibehörden zu wenden, auch wenn erstere seiner Ansicht nach «normalerweise» besser für Sicherheit sorgen würden (A25/12, F43). Es ist darauf hinzuweisen, dass die in vorstehender Erwägung dargelegte Anwendung der Schutztheorie hinsichtlich der irakischen Sicherheitsbehörden im kürzlich ergangenem Referenzurteil D- 913/2021 vom 19. März 2024 (E. 9) explizit bestätigt wurde. Es ist daher nicht nur vom bestehenden Schutzwillen, sondern in diesem Fall</w:t>
      </w:r>
    </w:p>
    <w:p>
      <w:r>
        <w:t>D-5071/2024 Seite 8 insbesondere von der bestehenden Schutzfähigkeit der nordirakischen Behörden auszugehen. Das Vorgehen und auch die Ausreise des Beschwerdeführers haben den Polizeibehörden die Möglichkeit verwehrt, ihren Schutzwillen beziehungsweise insbesondere ihre Schutzfähigkeit zu demonstrieren, was ihnen nicht angelastet werden kann. Im Weiteren kann aus behauptungsweise «weniger gutem» Schutz der irakischen Polizeibehörden auch nicht ohne Weiteres auf eine fehlende Schutzfähigkeit dieser geschlossen werden. Unabhängig von der Glaubhaftmachung der Vorbringen hat der Beschwerdeführer mit einer einmaligen Meldung des Vorfalls bei den Asayesh nicht alles ihm Zumutbare unternommen, um der vorgebrachten Drittverfolgung rechtsstaatliche Mittel entgegen zu setzen. Er hätte sich beispielsweise wiederholt und mit Nachdruck, nötigenfalls mit Hilfe eines Rechtsanwaltes, um weitergehenden Schutz beziehungsweise um eine Ahndung der konkreten Drittverfolgung durch die Einzelperson R.S. oder allfällige weitere Privatpersonen bemühen können. Entgegen seiner Behauptung ist kein unerträglicher psychischer Druck ersichtlich. An dieser Einschätzung vermögen die – bloss behaupteten – Belästigungen seiner Familie, gemäss denen nachts fremde Autos vor dem Haus stünden und wiederholt nach dem Beschwerdeführer gefragt werde, nichts zu ändern (A25/12, F35, F49 ff.). Vielmehr ist darauf hinzuweisen, dass gemäss den diesbezüglichen Ausführungen des Beschwerdeführers die Asayesh gerade eben – nebst ihrem Schutzwillen auch – ihre Schutzfähigkeit demonstrieren, weil die Belästigungen danach zumindest vorübergehend aufhörten (A25/12, F50; «Wenn meine Familie zum Asayesh ging, kamen sie zum Beispiel 6, 7 Tage nicht mehr zu uns, […]»). Entgegen seiner Behauptung kann der Beschwerdeführer aus der Arbeit als Küchenhilfe beim türkischen Geheimdienst oder aus seiner Ethnie nichts zu seinen Gunsten ableiten. Ebenso wenig ist aufgrund der Akten oder der Beschwerde ein (exponiertes) politisches Profil ersichtlich. In der Anhörung brachte der Beschwerdeführer mit keinem Wort vor, in irgendeiner Weise politisch aktiv gewesen zu sein. Auch in der Beschwerde wird einzig und ohne weitere Substantiierung vorgebracht, aufgrund seiner «politischen Einstellung» sei er als Flüchtling anzuerkennen (Beschwerde, Ziff. 22), was unbehelflich ist. Aus dem Vorbringen der angeblich abgelehnten Zusammenarbeit mit einem PKK-Anhänger ist kein exponiertes politisches Profil abzuleiten, ebenso wenig wie aus der diesbezüglichen Meldung an sich beim Asayesh. Hierzu ist festzuhalten, dass weder aus den Akten noch der Beschwerde hervorgeht, die Familie des Beschwerdeführers erleide irgendwelche asylrechtlich relevanten Nachteile aufgrund ihrer getätigten Meldungen bei den Sicherheitsbehörden, sondern vielmehr –</w:t>
      </w:r>
    </w:p>
    <w:p>
      <w:r>
        <w:t>D-5071/2024 Seite 9 wie bereits erwähnt – kehre danach Ruhe vor Belästigungen ein (A25/12, F50). Ebenso wenig kann der Beschwerdeführer aus der erfolgten Ausreise an sich etwas zu seinen Gunsten ableiten, nachdem sie problemlos und legal erfolgte (A25/12, F26). Die Ausführungen in der Beschwerde führen insgesamt zu keiner anderen Betrachtungsweise, zumal sie sich überwiegend in Argumenten erschöpfen, die bereits von der Vorinstanz zutreffend gewürdigt wurden. Sie vermögen die Einschätzung der Vorinstanz nicht umzustossen und keine asylrechtlich relevante Verfolgung begründet erscheinen zu lassen. Das beim SEM eingereichte Bestätigungsschreiben, um das die Mutter des Beschwerdeführers nach der Ausreise bei der PDK gebeten habe, ist von niedrigem Beweiswert, weil nicht ausgeschlossen werden kann, dass es sich dabei um ein Gefälligkeitsschreiben handelt (A25/12, F36). Auf Beschwerdeebene wurden damit keine neuen Tatsachen oder neue Beweismittel vorgebracht, welche die Einschätzung der Vorinstanz zu ändern vermöchten.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D-5071/2024 Seite 10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Die Rückkehr des Beschwerdeführers in den Heimatstaat ist demnach unter diesem Aspekt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 vorgeht, bestehen keine stichhaltigen Gründe für die Annahme, der Be- schwerdeführer würde nach einer Rückkehr in den Heimatstaat einer men- schenrechtswidrigen Behandlung unterzogen. Auch die allgemeine Men- schenrechtssituation im Heimatstaat lässt den Wegweisungsvollzug zum heutigen Zeitpunkt nicht als unzulässig erscheinen (vgl. a.a.O. D-913/2021</w:t>
      </w:r>
    </w:p>
    <w:p>
      <w:r>
        <w:t>D-5071/2024 Seite 11 E. 9 ff.).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seinem als Referenzurteil zu publizierenden Urteil D-913/2021 vom 19. März 2024 aktualisierte das Bundesverwaltungsgericht seine Pra- xis zur Frage der Zumutbarkeit des Vollzugs von Wegweisungen in die Re- gion Kurdistan-Irak (RKI) und hielt fest, dass in den irakisch-kurdischen Provinzen keine Situation allgemeiner Gewalt herrscht und die Sicherheits- lage weitgehend stabil ist. Die sozioökonomische Lage ist zwar in gewis- sen Bereichen als angespannt zu bezeichnen, generell ist aber von einem genügenden Zugang zu Strom, Wasser, Bildung und medizinischer Grund- versorgung auszugehen. Die Anordnung des Wegweisungsvollzugs er- scheint damit für alleinstehende und gesunde kurdische Männer oder Paare, die längere Zeit in der RKI gelebt haben, in der Regel zumutbar. Bei Personen aus ländlichen Bergregionen in Grenznähe ist eine Einzelfallprü- fung bezüglich einer Aufenthaltsalternative zu prüfen (vgl. zum Ganzen a.a.O. E. 14; BVGer Urteil D-2458/2024 vom 27. Juni 2024 E. 10.3). Es ist nicht von einer Gefährdung aller Staatsangehörigen im Sinne von Art. 83 Abs. 4 AIG auszugehen.</w:t>
      </w:r>
    </w:p>
    <w:p>
      <w:r>
        <w:rPr>
          <w:b/>
        </w:rPr>
        <w:t>E. 9.4.2</w:t>
      </w:r>
    </w:p>
    <w:p>
      <w:r>
        <w:t>Der Beschwerdeführer stammt aus Batifa (Bezirk Zakho, Provinz Do- huk) wo er gemäss eigenen Aussagen auch sein ganzes Leben bis zur Ausreise gewohnt hat (A25/12, F6 ff.). Zwar liegt der Bezirk Zakho in Grenznähe zur Türkei, es handelt sich dabei aber um eine Grossstadt, die nicht im Fokus türkischer Angriffe liegt, weshalb der Wegweisungsvollzug dorthin grundsätzlich zumutbar ist (vgl. a.a.O. E. 15). Der junge und ge- sunde Beschwerdeführer verfügt über eine zwölfjährige Schulbildung, mehrjährige Arbeitserfahrung in verschiedenen Bereichen (A25/12, F18 f.) und in seiner Heimatstadt leben zahlreiche Verwandte, mit denen er im ei- genen Haus gewohnt hat. Vor seiner Ausreise wohnte er ungefähr vier oder fünf Monate bei seiner Tante in Zakho (A25/12, F9 ff., F22). Das SEM geht zu Recht davon aus, dass der Beschwerdeführer bei einer Rückkehr nicht in eine existenzbedrohende Lage gerät. Es kann von einer problemlosen Reintegration und nötigenfalls der weiteren Unterstützung seiner Familie</w:t>
      </w:r>
    </w:p>
    <w:p>
      <w:r>
        <w:t>D-5071/2024 Seite 12 im Heimatstaat sowie seines Bruders in der Schweiz (A25/12, F54, F16) ausgegangen werden.</w:t>
      </w:r>
    </w:p>
    <w:p>
      <w:r>
        <w:rPr>
          <w:b/>
        </w:rPr>
        <w:t>E. 9.4.3</w:t>
      </w:r>
    </w:p>
    <w:p>
      <w:r>
        <w:t>Insgesamt erweist sich der Vollzug der Wegweisung als zumutbar.</w:t>
      </w:r>
    </w:p>
    <w:p>
      <w:r>
        <w:rPr>
          <w:b/>
        </w:rPr>
        <w:t>E. 9.5</w:t>
      </w:r>
    </w:p>
    <w:p>
      <w:r>
        <w:t>Schliesslich obliegt es dem Beschwerdeführer sich bei der zuständigen Vertretung des Heimatstaates die für eine Rückkehr allfällig weiteren not- wendigen Reisedokumente zu beschaffen (Art. 8 Abs. 4 AsylG; vgl.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abzuweisen ist.</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D-5071/2024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